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5951A2">
      <w:pPr>
        <w:keepNext w:val="0"/>
        <w:keepLines w:val="0"/>
        <w:pageBreakBefore w:val="0"/>
        <w:kinsoku/>
        <w:topLinePunct w:val="0"/>
        <w:autoSpaceDE/>
        <w:autoSpaceDN/>
        <w:bidi w:val="0"/>
        <w:spacing w:line="560" w:lineRule="exact"/>
        <w:jc w:val="both"/>
        <w:textAlignment w:val="auto"/>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rPr>
        <w:t>附件1</w:t>
      </w:r>
    </w:p>
    <w:p w14:paraId="082F241F">
      <w:pPr>
        <w:keepNext w:val="0"/>
        <w:keepLines w:val="0"/>
        <w:pageBreakBefore w:val="0"/>
        <w:kinsoku/>
        <w:topLinePunct w:val="0"/>
        <w:autoSpaceDE/>
        <w:autoSpaceDN/>
        <w:bidi w:val="0"/>
        <w:spacing w:line="560" w:lineRule="exact"/>
        <w:jc w:val="both"/>
        <w:textAlignment w:val="auto"/>
        <w:rPr>
          <w:rFonts w:hint="default" w:ascii="方正小标宋简体" w:eastAsia="方正小标宋简体"/>
          <w:color w:val="auto"/>
          <w:sz w:val="44"/>
          <w:szCs w:val="44"/>
          <w:highlight w:val="none"/>
        </w:rPr>
      </w:pPr>
    </w:p>
    <w:p w14:paraId="16D3BC82">
      <w:pPr>
        <w:keepNext w:val="0"/>
        <w:keepLines w:val="0"/>
        <w:pageBreakBefore w:val="0"/>
        <w:kinsoku/>
        <w:topLinePunct w:val="0"/>
        <w:autoSpaceDE/>
        <w:autoSpaceDN/>
        <w:bidi w:val="0"/>
        <w:spacing w:line="560" w:lineRule="exact"/>
        <w:jc w:val="center"/>
        <w:textAlignment w:val="auto"/>
        <w:rPr>
          <w:rFonts w:hint="eastAsia" w:ascii="方正小标宋简体" w:eastAsia="方正小标宋简体"/>
          <w:b w:val="0"/>
          <w:bCs w:val="0"/>
          <w:color w:val="auto"/>
          <w:sz w:val="44"/>
          <w:szCs w:val="44"/>
          <w:highlight w:val="none"/>
        </w:rPr>
      </w:pPr>
      <w:r>
        <w:rPr>
          <w:rFonts w:hint="eastAsia" w:ascii="方正小标宋简体" w:eastAsia="方正小标宋简体"/>
          <w:b w:val="0"/>
          <w:bCs w:val="0"/>
          <w:color w:val="auto"/>
          <w:sz w:val="44"/>
          <w:szCs w:val="44"/>
          <w:highlight w:val="none"/>
          <w:lang w:eastAsia="zh-CN"/>
        </w:rPr>
        <w:t>石家庄市</w:t>
      </w:r>
      <w:r>
        <w:rPr>
          <w:rFonts w:hint="eastAsia" w:ascii="方正小标宋简体" w:eastAsia="方正小标宋简体"/>
          <w:b w:val="0"/>
          <w:bCs w:val="0"/>
          <w:color w:val="auto"/>
          <w:sz w:val="44"/>
          <w:szCs w:val="44"/>
          <w:highlight w:val="none"/>
          <w:lang w:val="en-US" w:eastAsia="zh-CN"/>
        </w:rPr>
        <w:t>现代商贸流通体系</w:t>
      </w:r>
      <w:r>
        <w:rPr>
          <w:rFonts w:hint="default" w:ascii="方正小标宋简体" w:eastAsia="方正小标宋简体"/>
          <w:b w:val="0"/>
          <w:bCs w:val="0"/>
          <w:color w:val="auto"/>
          <w:sz w:val="44"/>
          <w:szCs w:val="44"/>
          <w:highlight w:val="none"/>
          <w:lang w:eastAsia="zh-CN"/>
        </w:rPr>
        <w:t>试点</w:t>
      </w:r>
      <w:r>
        <w:rPr>
          <w:rFonts w:hint="eastAsia" w:ascii="方正小标宋简体" w:eastAsia="方正小标宋简体"/>
          <w:b w:val="0"/>
          <w:bCs w:val="0"/>
          <w:color w:val="auto"/>
          <w:sz w:val="44"/>
          <w:szCs w:val="44"/>
          <w:highlight w:val="none"/>
        </w:rPr>
        <w:t>申报指南</w:t>
      </w:r>
    </w:p>
    <w:p w14:paraId="6CDC51CE">
      <w:pPr>
        <w:keepNext w:val="0"/>
        <w:keepLines w:val="0"/>
        <w:pageBreakBefore w:val="0"/>
        <w:kinsoku/>
        <w:topLinePunct w:val="0"/>
        <w:autoSpaceDE/>
        <w:autoSpaceDN/>
        <w:bidi w:val="0"/>
        <w:spacing w:line="560" w:lineRule="exact"/>
        <w:ind w:firstLine="640" w:firstLineChars="200"/>
        <w:textAlignment w:val="auto"/>
        <w:rPr>
          <w:rFonts w:hint="eastAsia" w:ascii="黑体" w:hAnsi="黑体" w:eastAsia="黑体"/>
          <w:color w:val="auto"/>
          <w:sz w:val="32"/>
          <w:szCs w:val="32"/>
          <w:highlight w:val="none"/>
        </w:rPr>
      </w:pPr>
    </w:p>
    <w:p w14:paraId="7C2FD278">
      <w:pPr>
        <w:keepNext w:val="0"/>
        <w:keepLines w:val="0"/>
        <w:pageBreakBefore w:val="0"/>
        <w:kinsoku/>
        <w:topLinePunct w:val="0"/>
        <w:autoSpaceDE/>
        <w:autoSpaceDN/>
        <w:bidi w:val="0"/>
        <w:spacing w:line="560" w:lineRule="exact"/>
        <w:ind w:firstLine="640" w:firstLineChars="200"/>
        <w:textAlignment w:val="auto"/>
        <w:rPr>
          <w:rFonts w:ascii="黑体" w:hAnsi="黑体" w:eastAsia="黑体"/>
          <w:color w:val="auto"/>
          <w:sz w:val="32"/>
          <w:szCs w:val="32"/>
          <w:highlight w:val="none"/>
        </w:rPr>
      </w:pPr>
      <w:r>
        <w:rPr>
          <w:rFonts w:hint="eastAsia" w:ascii="黑体" w:hAnsi="黑体" w:eastAsia="黑体"/>
          <w:color w:val="auto"/>
          <w:sz w:val="32"/>
          <w:szCs w:val="32"/>
          <w:highlight w:val="none"/>
        </w:rPr>
        <w:t>一、支持领域</w:t>
      </w:r>
    </w:p>
    <w:p w14:paraId="46561529">
      <w:pPr>
        <w:spacing w:line="560" w:lineRule="exact"/>
        <w:ind w:firstLine="640" w:firstLineChars="200"/>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支持企业在石家庄市建设现代商贸流通体系试点项目，推动城乡商贸流通融合发展，建设生活必需品流通保供体系，完善农村商贸流通体系，加快培育现代流通骨干企业，完善城乡再生资源回收体系。</w:t>
      </w:r>
    </w:p>
    <w:p w14:paraId="3A90BB2A">
      <w:pPr>
        <w:keepNext w:val="0"/>
        <w:keepLines w:val="0"/>
        <w:pageBreakBefore w:val="0"/>
        <w:kinsoku/>
        <w:topLinePunct w:val="0"/>
        <w:autoSpaceDE/>
        <w:autoSpaceDN/>
        <w:bidi w:val="0"/>
        <w:spacing w:line="560" w:lineRule="exact"/>
        <w:ind w:firstLine="640" w:firstLineChars="200"/>
        <w:textAlignment w:val="auto"/>
        <w:rPr>
          <w:rFonts w:ascii="楷体_GB2312" w:hAnsi="楷体_GB2312" w:eastAsia="楷体_GB2312" w:cs="楷体_GB2312"/>
          <w:b/>
          <w:bCs/>
          <w:color w:val="auto"/>
          <w:sz w:val="32"/>
          <w:szCs w:val="32"/>
          <w:highlight w:val="none"/>
        </w:rPr>
      </w:pPr>
      <w:r>
        <w:rPr>
          <w:rFonts w:hint="eastAsia" w:ascii="黑体" w:hAnsi="黑体" w:eastAsia="黑体"/>
          <w:color w:val="auto"/>
          <w:sz w:val="32"/>
          <w:szCs w:val="32"/>
          <w:highlight w:val="none"/>
        </w:rPr>
        <w:t>二、设定依据</w:t>
      </w:r>
    </w:p>
    <w:p w14:paraId="315B5DA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rPr>
        <w:t>（一）政策依据</w:t>
      </w:r>
    </w:p>
    <w:p w14:paraId="09A1AD2F">
      <w:pPr>
        <w:keepNext w:val="0"/>
        <w:keepLines w:val="0"/>
        <w:pageBreakBefore w:val="0"/>
        <w:widowControl/>
        <w:kinsoku/>
        <w:topLinePunct w:val="0"/>
        <w:autoSpaceDE/>
        <w:autoSpaceDN/>
        <w:bidi w:val="0"/>
        <w:spacing w:line="560" w:lineRule="exact"/>
        <w:ind w:firstLine="640" w:firstLineChars="200"/>
        <w:textAlignment w:val="auto"/>
        <w:rPr>
          <w:rFonts w:hint="default" w:ascii="仿宋_GB2312" w:hAnsi="仿宋_GB2312" w:eastAsia="仿宋_GB2312"/>
          <w:color w:val="auto"/>
          <w:sz w:val="32"/>
          <w:szCs w:val="32"/>
          <w:highlight w:val="none"/>
          <w:lang w:val="en-US" w:eastAsia="zh-CN"/>
        </w:rPr>
      </w:pPr>
      <w:r>
        <w:rPr>
          <w:rFonts w:hint="eastAsia" w:ascii="仿宋_GB2312" w:hAnsi="仿宋_GB2312" w:eastAsia="仿宋_GB2312"/>
          <w:color w:val="auto"/>
          <w:sz w:val="32"/>
          <w:szCs w:val="32"/>
          <w:highlight w:val="none"/>
          <w:lang w:val="en-US" w:eastAsia="zh-CN"/>
        </w:rPr>
        <w:t>《财务部办公厅 商务部办公厅关于支持建设现代商贸流通体系试点城市的通知》（财办建</w:t>
      </w:r>
      <w:r>
        <w:rPr>
          <w:rFonts w:hint="eastAsia" w:ascii="仿宋_GB2312" w:hAnsi="仿宋_GB2312" w:eastAsia="仿宋_GB2312" w:cs="仿宋_GB2312"/>
          <w:color w:val="auto"/>
          <w:sz w:val="32"/>
          <w:szCs w:val="32"/>
          <w:highlight w:val="none"/>
          <w:lang w:eastAsia="zh-CN"/>
        </w:rPr>
        <w:t>〔</w:t>
      </w:r>
      <w:r>
        <w:rPr>
          <w:rFonts w:hint="default" w:ascii="仿宋_GB2312" w:hAnsi="仿宋_GB2312" w:eastAsia="仿宋_GB2312"/>
          <w:color w:val="auto"/>
          <w:sz w:val="32"/>
          <w:szCs w:val="32"/>
          <w:highlight w:val="none"/>
          <w:lang w:val="en-US" w:eastAsia="zh-CN"/>
        </w:rPr>
        <w:t>2024</w:t>
      </w:r>
      <w:r>
        <w:rPr>
          <w:rFonts w:hint="eastAsia" w:ascii="仿宋_GB2312" w:hAnsi="仿宋_GB2312" w:eastAsia="仿宋_GB2312" w:cs="仿宋_GB2312"/>
          <w:color w:val="auto"/>
          <w:sz w:val="32"/>
          <w:szCs w:val="32"/>
          <w:highlight w:val="none"/>
          <w:lang w:eastAsia="zh-CN"/>
        </w:rPr>
        <w:t>〕</w:t>
      </w:r>
      <w:r>
        <w:rPr>
          <w:rFonts w:hint="default" w:ascii="仿宋_GB2312" w:hAnsi="仿宋_GB2312" w:eastAsia="仿宋_GB2312"/>
          <w:color w:val="auto"/>
          <w:sz w:val="32"/>
          <w:szCs w:val="32"/>
          <w:highlight w:val="none"/>
          <w:lang w:val="en-US" w:eastAsia="zh-CN"/>
        </w:rPr>
        <w:t>21</w:t>
      </w:r>
      <w:r>
        <w:rPr>
          <w:rFonts w:hint="eastAsia" w:ascii="仿宋_GB2312" w:hAnsi="仿宋_GB2312" w:eastAsia="仿宋_GB2312"/>
          <w:color w:val="auto"/>
          <w:sz w:val="32"/>
          <w:szCs w:val="32"/>
          <w:highlight w:val="none"/>
          <w:lang w:val="en-US" w:eastAsia="zh-CN"/>
        </w:rPr>
        <w:t>号）</w:t>
      </w:r>
    </w:p>
    <w:p w14:paraId="7833DBB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rPr>
        <w:t>（二）管理依据</w:t>
      </w:r>
    </w:p>
    <w:p w14:paraId="47F8A32D">
      <w:pPr>
        <w:keepNext w:val="0"/>
        <w:keepLines w:val="0"/>
        <w:pageBreakBefore w:val="0"/>
        <w:tabs>
          <w:tab w:val="center" w:pos="4153"/>
        </w:tabs>
        <w:kinsoku/>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《石家庄市建设现代商贸流通体系试点城市项目管理办法》（石商〔2024〕238号）</w:t>
      </w:r>
    </w:p>
    <w:p w14:paraId="226D13AA">
      <w:pPr>
        <w:keepNext w:val="0"/>
        <w:keepLines w:val="0"/>
        <w:pageBreakBefore w:val="0"/>
        <w:tabs>
          <w:tab w:val="center" w:pos="4153"/>
        </w:tabs>
        <w:kinsoku/>
        <w:topLinePunct w:val="0"/>
        <w:autoSpaceDE/>
        <w:autoSpaceDN/>
        <w:bidi w:val="0"/>
        <w:spacing w:line="560" w:lineRule="exact"/>
        <w:ind w:firstLine="640" w:firstLineChars="200"/>
        <w:textAlignment w:val="auto"/>
        <w:rPr>
          <w:rFonts w:ascii="黑体" w:hAnsi="黑体" w:eastAsia="黑体" w:cs="黑体"/>
          <w:bCs/>
          <w:color w:val="auto"/>
          <w:sz w:val="32"/>
          <w:szCs w:val="32"/>
          <w:highlight w:val="none"/>
        </w:rPr>
      </w:pPr>
      <w:r>
        <w:rPr>
          <w:rFonts w:hint="eastAsia" w:ascii="黑体" w:hAnsi="黑体" w:eastAsia="黑体" w:cs="黑体"/>
          <w:bCs/>
          <w:color w:val="auto"/>
          <w:sz w:val="32"/>
          <w:szCs w:val="32"/>
          <w:highlight w:val="none"/>
          <w:lang w:eastAsia="zh-CN"/>
        </w:rPr>
        <w:t>三、</w:t>
      </w:r>
      <w:r>
        <w:rPr>
          <w:rFonts w:hint="eastAsia" w:ascii="黑体" w:hAnsi="黑体" w:eastAsia="黑体" w:cs="黑体"/>
          <w:bCs/>
          <w:color w:val="auto"/>
          <w:sz w:val="32"/>
          <w:szCs w:val="32"/>
          <w:highlight w:val="none"/>
        </w:rPr>
        <w:t>支持</w:t>
      </w:r>
      <w:r>
        <w:rPr>
          <w:rFonts w:hint="eastAsia" w:ascii="黑体" w:hAnsi="黑体" w:eastAsia="黑体" w:cs="黑体"/>
          <w:bCs/>
          <w:color w:val="auto"/>
          <w:sz w:val="32"/>
          <w:szCs w:val="32"/>
          <w:highlight w:val="none"/>
          <w:lang w:eastAsia="zh-CN"/>
        </w:rPr>
        <w:t>方向</w:t>
      </w:r>
      <w:r>
        <w:rPr>
          <w:rFonts w:hint="eastAsia" w:ascii="黑体" w:hAnsi="黑体" w:eastAsia="黑体" w:cs="黑体"/>
          <w:bCs/>
          <w:color w:val="auto"/>
          <w:sz w:val="32"/>
          <w:szCs w:val="32"/>
          <w:highlight w:val="none"/>
        </w:rPr>
        <w:tab/>
      </w:r>
    </w:p>
    <w:p w14:paraId="7C60C66D">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楷体_GB2312" w:hAnsi="楷体_GB2312" w:eastAsia="楷体_GB2312" w:cs="楷体_GB2312"/>
          <w:color w:val="auto"/>
          <w:sz w:val="32"/>
          <w:szCs w:val="32"/>
          <w:highlight w:val="none"/>
          <w:lang w:val="en-US" w:eastAsia="zh-CN"/>
        </w:rPr>
      </w:pPr>
      <w:r>
        <w:rPr>
          <w:rFonts w:hint="eastAsia" w:ascii="楷体_GB2312" w:hAnsi="楷体_GB2312" w:eastAsia="楷体_GB2312" w:cs="楷体_GB2312"/>
          <w:color w:val="auto"/>
          <w:sz w:val="32"/>
          <w:szCs w:val="32"/>
          <w:highlight w:val="none"/>
          <w:lang w:val="en-US" w:eastAsia="zh-CN"/>
        </w:rPr>
        <w:t>（一）推动城乡商贸流通融合发展的重点支持方向</w:t>
      </w:r>
    </w:p>
    <w:p w14:paraId="4EA62C75">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w:t>
      </w:r>
      <w:r>
        <w:rPr>
          <w:rFonts w:hint="default" w:ascii="仿宋_GB2312" w:hAnsi="仿宋_GB2312" w:eastAsia="仿宋_GB2312" w:cs="仿宋_GB2312"/>
          <w:color w:val="auto"/>
          <w:sz w:val="32"/>
          <w:szCs w:val="32"/>
          <w:highlight w:val="none"/>
          <w:lang w:val="en-US" w:eastAsia="zh-CN"/>
        </w:rPr>
        <w:t>.支持骨干市场设施升级、信息化改造等，提升集散、跨区域调运和宏观调控水</w:t>
      </w:r>
      <w:r>
        <w:rPr>
          <w:rFonts w:hint="eastAsia" w:ascii="仿宋_GB2312" w:hAnsi="仿宋_GB2312" w:eastAsia="仿宋_GB2312" w:cs="仿宋_GB2312"/>
          <w:color w:val="auto"/>
          <w:sz w:val="32"/>
          <w:szCs w:val="32"/>
          <w:highlight w:val="none"/>
          <w:lang w:val="en-US" w:eastAsia="zh-CN"/>
        </w:rPr>
        <w:t>平</w:t>
      </w:r>
      <w:r>
        <w:rPr>
          <w:rFonts w:hint="default" w:ascii="仿宋_GB2312" w:hAnsi="仿宋_GB2312" w:eastAsia="仿宋_GB2312" w:cs="仿宋_GB2312"/>
          <w:color w:val="auto"/>
          <w:sz w:val="32"/>
          <w:szCs w:val="32"/>
          <w:highlight w:val="none"/>
          <w:lang w:val="en-US" w:eastAsia="zh-CN"/>
        </w:rPr>
        <w:t>，加强标准化菜市场改造。</w:t>
      </w:r>
    </w:p>
    <w:p w14:paraId="42A9AA2D">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w:t>
      </w:r>
      <w:r>
        <w:rPr>
          <w:rFonts w:hint="default" w:ascii="仿宋_GB2312" w:hAnsi="仿宋_GB2312" w:eastAsia="仿宋_GB2312" w:cs="仿宋_GB2312"/>
          <w:color w:val="auto"/>
          <w:sz w:val="32"/>
          <w:szCs w:val="32"/>
          <w:highlight w:val="none"/>
          <w:lang w:val="en-US" w:eastAsia="zh-CN"/>
        </w:rPr>
        <w:t>支持建设改造区域冷链物流基地，</w:t>
      </w:r>
      <w:r>
        <w:rPr>
          <w:rFonts w:hint="eastAsia" w:ascii="仿宋_GB2312" w:hAnsi="仿宋_GB2312" w:eastAsia="仿宋_GB2312" w:cs="仿宋_GB2312"/>
          <w:color w:val="auto"/>
          <w:sz w:val="32"/>
          <w:szCs w:val="32"/>
          <w:highlight w:val="none"/>
          <w:lang w:val="en-US" w:eastAsia="zh-CN"/>
        </w:rPr>
        <w:t>支持“河北净菜”生产加工配送中心设施建设</w:t>
      </w:r>
      <w:r>
        <w:rPr>
          <w:rFonts w:hint="default" w:ascii="仿宋_GB2312" w:hAnsi="仿宋_GB2312" w:eastAsia="仿宋_GB2312" w:cs="仿宋_GB2312"/>
          <w:color w:val="auto"/>
          <w:sz w:val="32"/>
          <w:szCs w:val="32"/>
          <w:highlight w:val="none"/>
          <w:lang w:val="en-US" w:eastAsia="zh-CN"/>
        </w:rPr>
        <w:t>，增强冷藏、加工、配送等综合能力，连接产地、销地和集散地，与国家骨干冷链物流基地、产地冷链保鲜设施等错位衔接，畅通工业品下乡和农产品进城。</w:t>
      </w:r>
    </w:p>
    <w:p w14:paraId="5132B5BB">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w:t>
      </w:r>
      <w:r>
        <w:rPr>
          <w:rFonts w:hint="default" w:ascii="仿宋_GB2312" w:hAnsi="仿宋_GB2312" w:eastAsia="仿宋_GB2312" w:cs="仿宋_GB2312"/>
          <w:color w:val="auto"/>
          <w:sz w:val="32"/>
          <w:szCs w:val="32"/>
          <w:highlight w:val="none"/>
          <w:lang w:val="en-US" w:eastAsia="zh-CN"/>
        </w:rPr>
        <w:t>支持商贸流通领域物流标准化、智慧化改造，推广智能仓配、自动分拣、无人配送等设施设备，发展第三方物流，提高流通效率。</w:t>
      </w:r>
    </w:p>
    <w:p w14:paraId="2AD26EC6">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4.</w:t>
      </w:r>
      <w:r>
        <w:rPr>
          <w:rFonts w:hint="default" w:ascii="仿宋_GB2312" w:hAnsi="仿宋_GB2312" w:eastAsia="仿宋_GB2312" w:cs="仿宋_GB2312"/>
          <w:color w:val="auto"/>
          <w:sz w:val="32"/>
          <w:szCs w:val="32"/>
          <w:highlight w:val="none"/>
          <w:lang w:val="en-US" w:eastAsia="zh-CN"/>
        </w:rPr>
        <w:t>支持</w:t>
      </w:r>
      <w:r>
        <w:rPr>
          <w:rFonts w:hint="eastAsia" w:ascii="仿宋_GB2312" w:hAnsi="仿宋_GB2312" w:eastAsia="仿宋_GB2312" w:cs="仿宋_GB2312"/>
          <w:color w:val="auto"/>
          <w:sz w:val="32"/>
          <w:szCs w:val="32"/>
          <w:highlight w:val="none"/>
          <w:lang w:val="en-US" w:eastAsia="zh-CN"/>
        </w:rPr>
        <w:t>新建改建农贸</w:t>
      </w:r>
      <w:r>
        <w:rPr>
          <w:rFonts w:hint="default" w:ascii="仿宋_GB2312" w:hAnsi="仿宋_GB2312" w:eastAsia="仿宋_GB2312" w:cs="仿宋_GB2312"/>
          <w:color w:val="auto"/>
          <w:sz w:val="32"/>
          <w:szCs w:val="32"/>
          <w:highlight w:val="none"/>
          <w:lang w:val="en-US" w:eastAsia="zh-CN"/>
        </w:rPr>
        <w:t>市场</w:t>
      </w:r>
      <w:r>
        <w:rPr>
          <w:rFonts w:hint="eastAsia" w:ascii="仿宋_GB2312" w:hAnsi="仿宋_GB2312" w:eastAsia="仿宋_GB2312" w:cs="仿宋_GB2312"/>
          <w:color w:val="auto"/>
          <w:sz w:val="32"/>
          <w:szCs w:val="32"/>
          <w:highlight w:val="none"/>
          <w:lang w:val="en-US" w:eastAsia="zh-CN"/>
        </w:rPr>
        <w:t>，支持</w:t>
      </w:r>
      <w:r>
        <w:rPr>
          <w:rFonts w:hint="default" w:ascii="仿宋_GB2312" w:hAnsi="仿宋_GB2312" w:eastAsia="仿宋_GB2312" w:cs="仿宋_GB2312"/>
          <w:color w:val="auto"/>
          <w:sz w:val="32"/>
          <w:szCs w:val="32"/>
          <w:highlight w:val="none"/>
          <w:lang w:val="en-US" w:eastAsia="zh-CN"/>
        </w:rPr>
        <w:t>围绕</w:t>
      </w:r>
      <w:r>
        <w:rPr>
          <w:rFonts w:hint="eastAsia" w:ascii="仿宋_GB2312" w:hAnsi="仿宋_GB2312" w:eastAsia="仿宋_GB2312" w:cs="仿宋_GB2312"/>
          <w:color w:val="auto"/>
          <w:sz w:val="32"/>
          <w:szCs w:val="32"/>
          <w:highlight w:val="none"/>
          <w:lang w:val="en-US" w:eastAsia="zh-CN"/>
        </w:rPr>
        <w:t>农贸市场基础设施、购物环境、功能</w:t>
      </w:r>
      <w:r>
        <w:rPr>
          <w:rFonts w:hint="default" w:ascii="仿宋_GB2312" w:hAnsi="仿宋_GB2312" w:eastAsia="仿宋_GB2312" w:cs="仿宋_GB2312"/>
          <w:color w:val="auto"/>
          <w:sz w:val="32"/>
          <w:szCs w:val="32"/>
          <w:highlight w:val="none"/>
          <w:lang w:val="en-US" w:eastAsia="zh-CN"/>
        </w:rPr>
        <w:t>布局、</w:t>
      </w:r>
      <w:r>
        <w:rPr>
          <w:rFonts w:hint="eastAsia" w:ascii="仿宋_GB2312" w:hAnsi="仿宋_GB2312" w:eastAsia="仿宋_GB2312" w:cs="仿宋_GB2312"/>
          <w:color w:val="auto"/>
          <w:sz w:val="32"/>
          <w:szCs w:val="32"/>
          <w:highlight w:val="none"/>
          <w:lang w:val="en-US" w:eastAsia="zh-CN"/>
        </w:rPr>
        <w:t>智慧化建设</w:t>
      </w:r>
      <w:r>
        <w:rPr>
          <w:rFonts w:hint="default" w:ascii="仿宋_GB2312" w:hAnsi="仿宋_GB2312" w:eastAsia="仿宋_GB2312" w:cs="仿宋_GB2312"/>
          <w:color w:val="auto"/>
          <w:sz w:val="32"/>
          <w:szCs w:val="32"/>
          <w:highlight w:val="none"/>
          <w:lang w:val="en-US" w:eastAsia="zh-CN"/>
        </w:rPr>
        <w:t>等升级改造。</w:t>
      </w:r>
    </w:p>
    <w:p w14:paraId="307346B8">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5.支持在市区建设连锁型生鲜超市，鼓励探索支持利用AI新技术,在市区推广“河北净菜”自提柜或社区“智慧生鲜店”建设，推动零售店场景化改造，实施零售业创新提升工程。</w:t>
      </w:r>
    </w:p>
    <w:p w14:paraId="13DCA67E">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楷体_GB2312" w:hAnsi="楷体_GB2312" w:eastAsia="楷体_GB2312" w:cs="楷体_GB2312"/>
          <w:color w:val="auto"/>
          <w:sz w:val="32"/>
          <w:szCs w:val="32"/>
          <w:highlight w:val="none"/>
          <w:lang w:val="en-US" w:eastAsia="zh-CN"/>
        </w:rPr>
      </w:pPr>
      <w:r>
        <w:rPr>
          <w:rFonts w:hint="eastAsia" w:ascii="楷体_GB2312" w:hAnsi="楷体_GB2312" w:eastAsia="楷体_GB2312" w:cs="楷体_GB2312"/>
          <w:color w:val="auto"/>
          <w:sz w:val="32"/>
          <w:szCs w:val="32"/>
          <w:highlight w:val="none"/>
          <w:lang w:val="en-US" w:eastAsia="zh-CN"/>
        </w:rPr>
        <w:t>（二）建设生活必需品流通保供体系的重点支持方向</w:t>
      </w:r>
    </w:p>
    <w:p w14:paraId="00E0B19D">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1.聚焦生活必需品重点品种，建设改造流通保供重大设施，优化网络布局。</w:t>
      </w:r>
    </w:p>
    <w:p w14:paraId="12092EEC">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提升农产品批发市场流通保供能力，增强储存、加工、分拣等功能。支持农产品批发市场改造扩建交易厅棚等，提升交易能力；支持升级改造检验检测中心等服务设施，完善农产品商品化处理基础设施建设；支持数字化升级改造，建设智慧化数字化管理系统。</w:t>
      </w:r>
    </w:p>
    <w:p w14:paraId="42B2A89E">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3.提高骨干仓储加工配送能力和效率，布局一批区域应急保供中心仓。</w:t>
      </w:r>
    </w:p>
    <w:p w14:paraId="70580603">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4.强化消费终端网络网点建设，提升末端配送、应急投放能力。</w:t>
      </w:r>
    </w:p>
    <w:p w14:paraId="6DCC537B">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5.完善生活必需品储备调控体系，加强肉、菜、小包装和应急食品等储备建设。</w:t>
      </w:r>
    </w:p>
    <w:p w14:paraId="4B1CC73F">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6.改进信息监测和预测预警。建设生活必需品市场监测预警和指挥调度信息平台，建成数据共享服务体系。</w:t>
      </w:r>
    </w:p>
    <w:p w14:paraId="00F0D13B">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7.建设改造“平急两用”备用场地等，预置部分设备设施。</w:t>
      </w:r>
    </w:p>
    <w:p w14:paraId="38B6473D">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方正楷体_GBK" w:hAnsi="方正楷体_GBK" w:eastAsia="方正楷体_GBK" w:cs="方正楷体_GBK"/>
          <w:color w:val="auto"/>
          <w:sz w:val="32"/>
          <w:szCs w:val="32"/>
          <w:highlight w:val="none"/>
          <w:lang w:val="en-US" w:eastAsia="zh-CN"/>
        </w:rPr>
      </w:pPr>
      <w:r>
        <w:rPr>
          <w:rFonts w:hint="eastAsia" w:ascii="方正楷体_GBK" w:hAnsi="方正楷体_GBK" w:eastAsia="方正楷体_GBK" w:cs="方正楷体_GBK"/>
          <w:color w:val="auto"/>
          <w:sz w:val="32"/>
          <w:szCs w:val="32"/>
          <w:highlight w:val="none"/>
          <w:lang w:val="en-US" w:eastAsia="zh-CN"/>
        </w:rPr>
        <w:t>（三）完善农村商贸流通体系的重点支持方向</w:t>
      </w:r>
    </w:p>
    <w:p w14:paraId="21BBBEE8">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1.支持改造升级乡镇商贸中心、大中型超市、集贸市场等，发展连锁经营和电子商务，完善农产品商品化处理设施，促进农村消费和农民收入双提升。</w:t>
      </w:r>
    </w:p>
    <w:p w14:paraId="2B2759B8">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2.支持健全县乡村三级物流配送体系，建设改造县级物流配送中心和乡镇快递站点，发挥邮政、供销和农村经销商网络优势，整合消费品、农资下乡和电商快递资源，大力发展共同配送，降低农村物流成本。</w:t>
      </w:r>
    </w:p>
    <w:p w14:paraId="5313F80F">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楷体_GB2312" w:hAnsi="楷体_GB2312" w:eastAsia="楷体_GB2312" w:cs="楷体_GB2312"/>
          <w:color w:val="auto"/>
          <w:sz w:val="32"/>
          <w:szCs w:val="32"/>
          <w:highlight w:val="none"/>
          <w:lang w:val="en-US" w:eastAsia="zh-CN"/>
        </w:rPr>
      </w:pPr>
      <w:r>
        <w:rPr>
          <w:rFonts w:hint="eastAsia" w:ascii="楷体_GB2312" w:hAnsi="楷体_GB2312" w:eastAsia="楷体_GB2312" w:cs="楷体_GB2312"/>
          <w:color w:val="auto"/>
          <w:sz w:val="32"/>
          <w:szCs w:val="32"/>
          <w:highlight w:val="none"/>
          <w:lang w:val="en-US" w:eastAsia="zh-CN"/>
        </w:rPr>
        <w:t>（四）加快培育现代流通骨干企业的重点支持方向</w:t>
      </w:r>
    </w:p>
    <w:p w14:paraId="5C2FA122">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1.支持传统批发零售业数字化转型，整合线上线下营销网络，发展集中采购、统仓统配、即时零售等，向社区和村镇延伸服务。</w:t>
      </w:r>
    </w:p>
    <w:p w14:paraId="74E84560">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2.大力发展现代供应链，依托骨干流通企业建设数字供应链服务平台，提供国内外市场开拓、品牌孵化、集采集配等服务，为中小企业发展赋能。</w:t>
      </w:r>
    </w:p>
    <w:p w14:paraId="56854981">
      <w:pPr>
        <w:keepNext w:val="0"/>
        <w:keepLines w:val="0"/>
        <w:pageBreakBefore w:val="0"/>
        <w:widowControl w:val="0"/>
        <w:kinsoku/>
        <w:wordWrap/>
        <w:overflowPunct/>
        <w:topLinePunct w:val="0"/>
        <w:autoSpaceDE/>
        <w:autoSpaceDN/>
        <w:bidi w:val="0"/>
        <w:adjustRightInd/>
        <w:snapToGrid/>
        <w:spacing w:line="560" w:lineRule="exact"/>
        <w:ind w:firstLine="640" w:firstLineChars="0"/>
        <w:jc w:val="both"/>
        <w:textAlignment w:val="auto"/>
        <w:rPr>
          <w:rFonts w:hint="eastAsia" w:ascii="楷体_GB2312" w:hAnsi="楷体_GB2312" w:eastAsia="楷体_GB2312" w:cs="楷体_GB2312"/>
          <w:color w:val="auto"/>
          <w:sz w:val="32"/>
          <w:szCs w:val="32"/>
          <w:highlight w:val="none"/>
          <w:lang w:val="en-US" w:eastAsia="zh-CN"/>
        </w:rPr>
      </w:pPr>
      <w:r>
        <w:rPr>
          <w:rFonts w:hint="eastAsia" w:ascii="楷体_GB2312" w:hAnsi="楷体_GB2312" w:eastAsia="楷体_GB2312" w:cs="楷体_GB2312"/>
          <w:color w:val="auto"/>
          <w:sz w:val="32"/>
          <w:szCs w:val="32"/>
          <w:highlight w:val="none"/>
          <w:lang w:val="en-US" w:eastAsia="zh-CN"/>
        </w:rPr>
        <w:t>（五）建设城乡再生资源回收体系的重点支持方向</w:t>
      </w:r>
    </w:p>
    <w:p w14:paraId="5BD3CBE6">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w:t>
      </w:r>
      <w:r>
        <w:rPr>
          <w:rFonts w:hint="default" w:ascii="仿宋_GB2312" w:hAnsi="仿宋_GB2312" w:eastAsia="仿宋_GB2312" w:cs="仿宋_GB2312"/>
          <w:color w:val="auto"/>
          <w:sz w:val="32"/>
          <w:szCs w:val="32"/>
          <w:highlight w:val="none"/>
          <w:lang w:val="en-US" w:eastAsia="zh-CN"/>
        </w:rPr>
        <w:t>完善城乡再生资源回收体系，支持家电等耐用消费品以旧换新。</w:t>
      </w:r>
    </w:p>
    <w:p w14:paraId="22D4B304">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w:t>
      </w:r>
      <w:r>
        <w:rPr>
          <w:rFonts w:hint="default" w:ascii="仿宋_GB2312" w:hAnsi="仿宋_GB2312" w:eastAsia="仿宋_GB2312" w:cs="仿宋_GB2312"/>
          <w:color w:val="auto"/>
          <w:sz w:val="32"/>
          <w:szCs w:val="32"/>
          <w:highlight w:val="none"/>
          <w:lang w:val="en-US" w:eastAsia="zh-CN"/>
        </w:rPr>
        <w:t>支持新建、改扩建废旧家电专业型分拣中心以及包含废旧家电家具等业务的综合性再生资源分拣中心，拓展再生资源集聚、分拣、消纳等功能。</w:t>
      </w:r>
    </w:p>
    <w:p w14:paraId="160DE7BD">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w:t>
      </w:r>
      <w:r>
        <w:rPr>
          <w:rFonts w:hint="default" w:ascii="仿宋_GB2312" w:hAnsi="仿宋_GB2312" w:eastAsia="仿宋_GB2312" w:cs="仿宋_GB2312"/>
          <w:color w:val="auto"/>
          <w:sz w:val="32"/>
          <w:szCs w:val="32"/>
          <w:highlight w:val="none"/>
          <w:lang w:val="en-US" w:eastAsia="zh-CN"/>
        </w:rPr>
        <w:t>支持以县城和乡镇为重点，结合县级物流配送中心、乡镇商贸中心等升级改造，建设废旧家电家具等再生资源中转站点或配套设施，畅通家电消费循环。</w:t>
      </w:r>
    </w:p>
    <w:p w14:paraId="52FF05C6">
      <w:pPr>
        <w:pStyle w:val="2"/>
        <w:numPr>
          <w:ilvl w:val="0"/>
          <w:numId w:val="0"/>
        </w:numPr>
        <w:ind w:firstLine="640"/>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lang w:val="en-US" w:eastAsia="zh-CN"/>
        </w:rPr>
        <w:t>四、</w:t>
      </w:r>
      <w:r>
        <w:rPr>
          <w:rFonts w:hint="eastAsia" w:ascii="黑体" w:hAnsi="黑体" w:eastAsia="黑体" w:cs="黑体"/>
          <w:color w:val="auto"/>
          <w:sz w:val="32"/>
          <w:szCs w:val="32"/>
          <w:highlight w:val="none"/>
        </w:rPr>
        <w:t>申报条件</w:t>
      </w:r>
    </w:p>
    <w:p w14:paraId="66198D6A">
      <w:pPr>
        <w:keepNext w:val="0"/>
        <w:keepLines w:val="0"/>
        <w:pageBreakBefore w:val="0"/>
        <w:widowControl/>
        <w:kinsoku/>
        <w:topLinePunct w:val="0"/>
        <w:autoSpaceDE/>
        <w:autoSpaceDN/>
        <w:bidi w:val="0"/>
        <w:spacing w:line="560" w:lineRule="exact"/>
        <w:ind w:firstLine="640" w:firstLineChars="200"/>
        <w:textAlignment w:val="auto"/>
        <w:rPr>
          <w:rFonts w:hint="eastAsia" w:ascii="楷体_GB2312" w:hAnsi="楷体_GB2312" w:eastAsia="楷体_GB2312" w:cs="楷体_GB2312"/>
          <w:color w:val="auto"/>
          <w:sz w:val="32"/>
          <w:szCs w:val="32"/>
          <w:highlight w:val="none"/>
          <w:lang w:eastAsia="zh-CN"/>
        </w:rPr>
      </w:pPr>
      <w:r>
        <w:rPr>
          <w:rFonts w:hint="eastAsia" w:ascii="楷体_GB2312" w:hAnsi="楷体_GB2312" w:eastAsia="楷体_GB2312" w:cs="楷体_GB2312"/>
          <w:color w:val="auto"/>
          <w:sz w:val="32"/>
          <w:szCs w:val="32"/>
          <w:highlight w:val="none"/>
          <w:lang w:eastAsia="zh-CN"/>
        </w:rPr>
        <w:t>（一）基础条件</w:t>
      </w:r>
    </w:p>
    <w:p w14:paraId="1AFB3DC7">
      <w:pPr>
        <w:pStyle w:val="10"/>
        <w:numPr>
          <w:ilvl w:val="0"/>
          <w:numId w:val="0"/>
        </w:numPr>
        <w:adjustRightInd w:val="0"/>
        <w:snapToGrid w:val="0"/>
        <w:ind w:left="0" w:firstLine="640" w:firstLineChars="200"/>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1.申报单位原则上为现代商贸流通体系试点项目（即申报项目）的实际建设或运营主体。</w:t>
      </w:r>
    </w:p>
    <w:p w14:paraId="1A27B42D">
      <w:pPr>
        <w:pStyle w:val="10"/>
        <w:numPr>
          <w:ilvl w:val="0"/>
          <w:numId w:val="0"/>
        </w:numPr>
        <w:adjustRightInd w:val="0"/>
        <w:snapToGrid w:val="0"/>
        <w:ind w:left="0" w:firstLine="640" w:firstLineChars="200"/>
        <w:rPr>
          <w:rFonts w:hint="eastAsia" w:cs="仿宋_GB2312"/>
          <w:b w:val="0"/>
          <w:bCs w:val="0"/>
          <w:color w:val="auto"/>
          <w:sz w:val="32"/>
          <w:szCs w:val="32"/>
          <w:highlight w:val="none"/>
          <w:u w:val="none"/>
          <w:lang w:eastAsia="zh-CN"/>
        </w:rPr>
      </w:pP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u w:val="none"/>
          <w:lang w:val="en-US" w:eastAsia="zh-CN"/>
        </w:rPr>
        <w:t>申报单位为在</w:t>
      </w:r>
      <w:r>
        <w:rPr>
          <w:rFonts w:hint="eastAsia" w:cs="仿宋_GB2312"/>
          <w:color w:val="auto"/>
          <w:sz w:val="32"/>
          <w:szCs w:val="32"/>
          <w:highlight w:val="none"/>
          <w:u w:val="none"/>
          <w:lang w:val="en-US" w:eastAsia="zh-CN"/>
        </w:rPr>
        <w:t>石家庄市</w:t>
      </w:r>
      <w:r>
        <w:rPr>
          <w:rFonts w:hint="eastAsia" w:ascii="仿宋_GB2312" w:hAnsi="仿宋_GB2312" w:eastAsia="仿宋_GB2312" w:cs="仿宋_GB2312"/>
          <w:color w:val="auto"/>
          <w:sz w:val="32"/>
          <w:szCs w:val="32"/>
          <w:highlight w:val="none"/>
          <w:u w:val="none"/>
          <w:lang w:eastAsia="zh-CN"/>
        </w:rPr>
        <w:t>实际</w:t>
      </w:r>
      <w:r>
        <w:rPr>
          <w:rFonts w:hint="eastAsia" w:ascii="仿宋_GB2312" w:hAnsi="仿宋_GB2312" w:eastAsia="仿宋_GB2312" w:cs="仿宋_GB2312"/>
          <w:b w:val="0"/>
          <w:bCs w:val="0"/>
          <w:color w:val="auto"/>
          <w:sz w:val="32"/>
          <w:szCs w:val="32"/>
          <w:highlight w:val="none"/>
          <w:u w:val="none"/>
          <w:lang w:val="en-US" w:eastAsia="zh-CN"/>
        </w:rPr>
        <w:t>从事</w:t>
      </w:r>
      <w:r>
        <w:rPr>
          <w:rFonts w:hint="eastAsia" w:ascii="仿宋_GB2312" w:hAnsi="仿宋_GB2312" w:eastAsia="仿宋_GB2312" w:cs="仿宋_GB2312"/>
          <w:b w:val="0"/>
          <w:bCs w:val="0"/>
          <w:color w:val="auto"/>
          <w:sz w:val="32"/>
          <w:szCs w:val="32"/>
          <w:highlight w:val="none"/>
          <w:u w:val="none"/>
          <w:lang w:eastAsia="zh-CN"/>
        </w:rPr>
        <w:t>经营</w:t>
      </w:r>
      <w:r>
        <w:rPr>
          <w:rFonts w:hint="eastAsia" w:ascii="仿宋_GB2312" w:hAnsi="仿宋_GB2312" w:eastAsia="仿宋_GB2312" w:cs="仿宋_GB2312"/>
          <w:b w:val="0"/>
          <w:bCs w:val="0"/>
          <w:color w:val="auto"/>
          <w:sz w:val="32"/>
          <w:szCs w:val="32"/>
          <w:highlight w:val="none"/>
          <w:u w:val="none"/>
          <w:lang w:val="en-US" w:eastAsia="zh-CN"/>
        </w:rPr>
        <w:t>活动</w:t>
      </w:r>
      <w:r>
        <w:rPr>
          <w:rFonts w:hint="eastAsia" w:ascii="仿宋_GB2312" w:hAnsi="仿宋_GB2312" w:eastAsia="仿宋_GB2312" w:cs="仿宋_GB2312"/>
          <w:b w:val="0"/>
          <w:bCs w:val="0"/>
          <w:color w:val="auto"/>
          <w:sz w:val="32"/>
          <w:szCs w:val="32"/>
          <w:highlight w:val="none"/>
          <w:u w:val="none"/>
          <w:lang w:eastAsia="zh-CN"/>
        </w:rPr>
        <w:t>的企业。</w:t>
      </w:r>
      <w:r>
        <w:rPr>
          <w:rFonts w:hint="eastAsia" w:cs="仿宋_GB2312"/>
          <w:b w:val="0"/>
          <w:bCs w:val="0"/>
          <w:color w:val="auto"/>
          <w:sz w:val="32"/>
          <w:szCs w:val="32"/>
          <w:highlight w:val="none"/>
          <w:u w:val="none"/>
          <w:lang w:eastAsia="zh-CN"/>
        </w:rPr>
        <w:t>申报项目建设地在石家庄市。</w:t>
      </w:r>
    </w:p>
    <w:p w14:paraId="744E5B25">
      <w:pPr>
        <w:pStyle w:val="10"/>
        <w:numPr>
          <w:ilvl w:val="0"/>
          <w:numId w:val="0"/>
        </w:numPr>
        <w:adjustRightInd w:val="0"/>
        <w:snapToGrid w:val="0"/>
        <w:ind w:left="0" w:firstLine="640" w:firstLineChars="200"/>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3.近三年内，申报单位未发生重大安全事故；未被国家、省、市有关部门列入严重失信主体名单实施失信惩戒，明确限制申请财政性资金项目，且在限制期内；未拖欠应缴还的财政性资金等。</w:t>
      </w:r>
    </w:p>
    <w:p w14:paraId="5B6C5CE0">
      <w:pPr>
        <w:keepNext w:val="0"/>
        <w:keepLines w:val="0"/>
        <w:pageBreakBefore w:val="0"/>
        <w:widowControl/>
        <w:kinsoku/>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4.申报单位应对申报材料的真实性、合法性、完整性负责，应如实提供本单位信用状况，承担违约责任并作出承诺，不得弄虚作假、套取、骗取财政资金。</w:t>
      </w:r>
    </w:p>
    <w:p w14:paraId="1ACFD163">
      <w:pPr>
        <w:keepNext w:val="0"/>
        <w:keepLines w:val="0"/>
        <w:pageBreakBefore w:val="0"/>
        <w:widowControl w:val="0"/>
        <w:kinsoku/>
        <w:topLinePunct w:val="0"/>
        <w:autoSpaceDE/>
        <w:autoSpaceDN/>
        <w:bidi w:val="0"/>
        <w:spacing w:line="560" w:lineRule="exact"/>
        <w:ind w:firstLine="640" w:firstLineChars="0"/>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5.申报</w:t>
      </w:r>
      <w:r>
        <w:rPr>
          <w:rFonts w:hint="eastAsia" w:ascii="仿宋_GB2312" w:hAnsi="仿宋_GB2312" w:eastAsia="仿宋_GB2312" w:cs="仿宋_GB2312"/>
          <w:color w:val="auto"/>
          <w:sz w:val="32"/>
          <w:szCs w:val="32"/>
          <w:highlight w:val="none"/>
          <w:lang w:eastAsia="zh-CN"/>
        </w:rPr>
        <w:t>单位不存在以同一项目或同一费用重复或多头申报的情形</w:t>
      </w:r>
      <w:r>
        <w:rPr>
          <w:rFonts w:hint="eastAsia" w:ascii="仿宋_GB2312" w:hAnsi="仿宋_GB2312" w:eastAsia="仿宋_GB2312" w:cs="仿宋_GB2312"/>
          <w:color w:val="auto"/>
          <w:sz w:val="32"/>
          <w:szCs w:val="32"/>
          <w:highlight w:val="none"/>
          <w:lang w:val="en-US" w:eastAsia="zh-CN"/>
        </w:rPr>
        <w:t>。试点期近三年内已从其他渠道获得中央财政资金支持</w:t>
      </w:r>
      <w:r>
        <w:rPr>
          <w:rFonts w:hint="eastAsia" w:ascii="仿宋_GB2312" w:hAnsi="仿宋_GB2312" w:eastAsia="仿宋_GB2312" w:cs="仿宋_GB2312"/>
          <w:b w:val="0"/>
          <w:bCs w:val="0"/>
          <w:color w:val="auto"/>
          <w:sz w:val="32"/>
          <w:szCs w:val="32"/>
          <w:highlight w:val="none"/>
          <w:lang w:val="en-US" w:eastAsia="zh-CN"/>
        </w:rPr>
        <w:t>的项目（含超长期特别国债资金），不得重复申请资金支持。</w:t>
      </w:r>
    </w:p>
    <w:p w14:paraId="33016BD9">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lang w:eastAsia="zh-CN"/>
        </w:rPr>
        <w:t>申报单位不存在将本属于同一性质内涵与建设内容的资助项目刻意分拆成两个项目的情形。</w:t>
      </w:r>
    </w:p>
    <w:p w14:paraId="256B76D6">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7.申报单位须配合开展现代商贸流通体系试点工作，积极配合相关部门完成统计监测、数据报送、行业预警、信息咨询、培训宣传、调度审查等工作。</w:t>
      </w:r>
    </w:p>
    <w:p w14:paraId="0B490399">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i w:val="0"/>
          <w:caps w:val="0"/>
          <w:color w:val="auto"/>
          <w:spacing w:val="0"/>
          <w:sz w:val="32"/>
          <w:szCs w:val="32"/>
          <w:highlight w:val="none"/>
          <w:shd w:val="clear" w:color="auto" w:fill="auto"/>
          <w:lang w:eastAsia="zh-CN"/>
        </w:rPr>
      </w:pPr>
      <w:r>
        <w:rPr>
          <w:rFonts w:hint="eastAsia" w:ascii="仿宋_GB2312" w:hAnsi="仿宋_GB2312" w:eastAsia="仿宋_GB2312" w:cs="仿宋_GB2312"/>
          <w:color w:val="auto"/>
          <w:sz w:val="32"/>
          <w:szCs w:val="32"/>
          <w:highlight w:val="none"/>
          <w:lang w:val="en-US" w:eastAsia="zh-CN"/>
        </w:rPr>
        <w:t>8.</w:t>
      </w:r>
      <w:r>
        <w:rPr>
          <w:rFonts w:hint="eastAsia" w:ascii="仿宋_GB2312" w:hAnsi="仿宋_GB2312" w:eastAsia="仿宋_GB2312" w:cs="仿宋_GB2312"/>
          <w:i w:val="0"/>
          <w:caps w:val="0"/>
          <w:color w:val="auto"/>
          <w:spacing w:val="0"/>
          <w:sz w:val="32"/>
          <w:szCs w:val="32"/>
          <w:highlight w:val="none"/>
          <w:shd w:val="clear" w:color="auto" w:fill="auto"/>
        </w:rPr>
        <w:t>申报项目如有土建内容的，应符合项目备案（核准）、环评、规划、土地</w:t>
      </w:r>
      <w:r>
        <w:rPr>
          <w:rFonts w:hint="eastAsia" w:ascii="仿宋_GB2312" w:hAnsi="仿宋_GB2312" w:eastAsia="仿宋_GB2312" w:cs="仿宋_GB2312"/>
          <w:i w:val="0"/>
          <w:caps w:val="0"/>
          <w:color w:val="auto"/>
          <w:spacing w:val="0"/>
          <w:sz w:val="32"/>
          <w:szCs w:val="32"/>
          <w:highlight w:val="none"/>
          <w:shd w:val="clear" w:color="auto" w:fill="auto"/>
          <w:lang w:eastAsia="zh-CN"/>
        </w:rPr>
        <w:t>、</w:t>
      </w:r>
      <w:r>
        <w:rPr>
          <w:rFonts w:hint="eastAsia" w:ascii="仿宋_GB2312" w:hAnsi="仿宋_GB2312" w:eastAsia="仿宋_GB2312" w:cs="仿宋_GB2312"/>
          <w:i w:val="0"/>
          <w:caps w:val="0"/>
          <w:color w:val="auto"/>
          <w:spacing w:val="0"/>
          <w:sz w:val="32"/>
          <w:szCs w:val="32"/>
          <w:highlight w:val="none"/>
          <w:shd w:val="clear" w:color="auto" w:fill="auto"/>
          <w:lang w:val="en-US" w:eastAsia="zh-CN"/>
        </w:rPr>
        <w:t>工程及建设</w:t>
      </w:r>
      <w:r>
        <w:rPr>
          <w:rFonts w:hint="eastAsia" w:ascii="仿宋_GB2312" w:hAnsi="仿宋_GB2312" w:eastAsia="仿宋_GB2312" w:cs="仿宋_GB2312"/>
          <w:i w:val="0"/>
          <w:caps w:val="0"/>
          <w:color w:val="auto"/>
          <w:spacing w:val="0"/>
          <w:sz w:val="32"/>
          <w:szCs w:val="32"/>
          <w:highlight w:val="none"/>
          <w:shd w:val="clear" w:color="auto" w:fill="auto"/>
        </w:rPr>
        <w:t>等相关建设</w:t>
      </w:r>
      <w:r>
        <w:rPr>
          <w:rFonts w:hint="eastAsia" w:ascii="仿宋_GB2312" w:hAnsi="仿宋_GB2312" w:eastAsia="仿宋_GB2312" w:cs="仿宋_GB2312"/>
          <w:i w:val="0"/>
          <w:caps w:val="0"/>
          <w:color w:val="auto"/>
          <w:spacing w:val="0"/>
          <w:sz w:val="32"/>
          <w:szCs w:val="32"/>
          <w:highlight w:val="none"/>
          <w:shd w:val="clear" w:color="auto" w:fill="auto"/>
          <w:lang w:val="en-US" w:eastAsia="zh-CN"/>
        </w:rPr>
        <w:t>要求</w:t>
      </w:r>
      <w:r>
        <w:rPr>
          <w:rFonts w:hint="eastAsia" w:ascii="仿宋_GB2312" w:hAnsi="仿宋_GB2312" w:eastAsia="仿宋_GB2312" w:cs="仿宋_GB2312"/>
          <w:i w:val="0"/>
          <w:caps w:val="0"/>
          <w:color w:val="auto"/>
          <w:spacing w:val="0"/>
          <w:sz w:val="32"/>
          <w:szCs w:val="32"/>
          <w:highlight w:val="none"/>
          <w:shd w:val="clear" w:color="auto" w:fill="auto"/>
        </w:rPr>
        <w:t>。</w:t>
      </w:r>
    </w:p>
    <w:p w14:paraId="6D396BC7">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9.项目投资认定期为2024年1月1日以后，应在2024-2026年内完成验收。</w:t>
      </w:r>
    </w:p>
    <w:p w14:paraId="4DD0E97D">
      <w:pPr>
        <w:keepNext w:val="0"/>
        <w:keepLines w:val="0"/>
        <w:pageBreakBefore w:val="0"/>
        <w:kinsoku/>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10.申报项目管理机制健全，绩效目标清晰、合理、可考核，预期成效显著。</w:t>
      </w:r>
    </w:p>
    <w:p w14:paraId="702C093A">
      <w:pPr>
        <w:keepNext w:val="0"/>
        <w:keepLines w:val="0"/>
        <w:pageBreakBefore w:val="0"/>
        <w:kinsoku/>
        <w:topLinePunct w:val="0"/>
        <w:autoSpaceDE/>
        <w:autoSpaceDN/>
        <w:bidi w:val="0"/>
        <w:spacing w:line="560" w:lineRule="exact"/>
        <w:ind w:firstLine="640" w:firstLineChars="200"/>
        <w:jc w:val="both"/>
        <w:textAlignment w:val="auto"/>
        <w:rPr>
          <w:rFonts w:hint="eastAsia" w:ascii="楷体_GB2312" w:hAnsi="楷体_GB2312" w:eastAsia="楷体_GB2312" w:cs="楷体_GB2312"/>
          <w:color w:val="auto"/>
          <w:sz w:val="32"/>
          <w:szCs w:val="32"/>
          <w:highlight w:val="none"/>
          <w:lang w:eastAsia="zh-CN"/>
        </w:rPr>
      </w:pPr>
      <w:r>
        <w:rPr>
          <w:rFonts w:hint="eastAsia" w:ascii="楷体_GB2312" w:hAnsi="楷体_GB2312" w:eastAsia="楷体_GB2312" w:cs="楷体_GB2312"/>
          <w:color w:val="auto"/>
          <w:sz w:val="32"/>
          <w:szCs w:val="32"/>
          <w:highlight w:val="none"/>
          <w:lang w:eastAsia="zh-CN"/>
        </w:rPr>
        <w:t>（二）专项条件</w:t>
      </w:r>
    </w:p>
    <w:p w14:paraId="76F73EA6">
      <w:pPr>
        <w:keepNext w:val="0"/>
        <w:keepLines w:val="0"/>
        <w:pageBreakBefore w:val="0"/>
        <w:kinsoku/>
        <w:topLinePunct w:val="0"/>
        <w:autoSpaceDE/>
        <w:autoSpaceDN/>
        <w:bidi w:val="0"/>
        <w:spacing w:line="560" w:lineRule="exact"/>
        <w:ind w:firstLine="640" w:firstLineChars="200"/>
        <w:textAlignment w:val="auto"/>
        <w:rPr>
          <w:rFonts w:hint="eastAsia" w:ascii="仿宋_GB2312" w:hAnsi="仿宋_GB2312" w:eastAsia="仿宋_GB2312"/>
          <w:color w:val="auto"/>
          <w:sz w:val="32"/>
          <w:szCs w:val="32"/>
          <w:highlight w:val="none"/>
          <w:lang w:val="en-US" w:eastAsia="zh-CN"/>
        </w:rPr>
      </w:pPr>
      <w:r>
        <w:rPr>
          <w:rFonts w:hint="eastAsia" w:ascii="仿宋_GB2312" w:hAnsi="仿宋_GB2312" w:eastAsia="仿宋_GB2312"/>
          <w:color w:val="auto"/>
          <w:sz w:val="32"/>
          <w:szCs w:val="32"/>
          <w:highlight w:val="none"/>
          <w:lang w:val="en-US" w:eastAsia="zh-CN"/>
        </w:rPr>
        <w:t>申报项目投资总额原则上需不少于200万元。</w:t>
      </w:r>
    </w:p>
    <w:p w14:paraId="6912FBF3">
      <w:pPr>
        <w:keepNext w:val="0"/>
        <w:keepLines w:val="0"/>
        <w:pageBreakBefore w:val="0"/>
        <w:kinsoku/>
        <w:topLinePunct w:val="0"/>
        <w:autoSpaceDE/>
        <w:autoSpaceDN/>
        <w:bidi w:val="0"/>
        <w:spacing w:line="560" w:lineRule="exact"/>
        <w:ind w:firstLine="640" w:firstLineChars="20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val="en-US" w:eastAsia="zh-CN"/>
        </w:rPr>
        <w:t>五</w:t>
      </w:r>
      <w:r>
        <w:rPr>
          <w:rFonts w:hint="eastAsia" w:ascii="黑体" w:hAnsi="黑体" w:eastAsia="黑体" w:cs="黑体"/>
          <w:color w:val="auto"/>
          <w:sz w:val="32"/>
          <w:szCs w:val="32"/>
          <w:highlight w:val="none"/>
        </w:rPr>
        <w:t>、</w:t>
      </w:r>
      <w:r>
        <w:rPr>
          <w:rFonts w:hint="eastAsia" w:ascii="黑体" w:hAnsi="黑体" w:eastAsia="黑体" w:cs="黑体"/>
          <w:color w:val="auto"/>
          <w:sz w:val="32"/>
          <w:szCs w:val="32"/>
          <w:highlight w:val="none"/>
          <w:lang w:eastAsia="zh-CN"/>
        </w:rPr>
        <w:t>申报材料</w:t>
      </w:r>
    </w:p>
    <w:p w14:paraId="23626CF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olor w:val="auto"/>
          <w:sz w:val="32"/>
          <w:szCs w:val="32"/>
          <w:highlight w:val="none"/>
        </w:rPr>
      </w:pPr>
      <w:r>
        <w:rPr>
          <w:rFonts w:hint="eastAsia" w:ascii="仿宋_GB2312" w:hAnsi="仿宋_GB2312" w:eastAsia="仿宋_GB2312"/>
          <w:color w:val="auto"/>
          <w:sz w:val="32"/>
          <w:szCs w:val="32"/>
          <w:highlight w:val="none"/>
        </w:rPr>
        <w:t>按照申报单位属地</w:t>
      </w:r>
      <w:r>
        <w:rPr>
          <w:rFonts w:hint="eastAsia" w:ascii="仿宋_GB2312" w:hAnsi="仿宋_GB2312" w:eastAsia="仿宋_GB2312"/>
          <w:color w:val="auto"/>
          <w:sz w:val="32"/>
          <w:szCs w:val="32"/>
          <w:highlight w:val="none"/>
          <w:lang w:eastAsia="zh-CN"/>
        </w:rPr>
        <w:t>管理</w:t>
      </w:r>
      <w:r>
        <w:rPr>
          <w:rFonts w:hint="eastAsia" w:ascii="仿宋_GB2312" w:hAnsi="仿宋_GB2312" w:eastAsia="仿宋_GB2312"/>
          <w:color w:val="auto"/>
          <w:sz w:val="32"/>
          <w:szCs w:val="32"/>
          <w:highlight w:val="none"/>
        </w:rPr>
        <w:t>原则，由申报单位在规定时间内向</w:t>
      </w:r>
      <w:r>
        <w:rPr>
          <w:rFonts w:hint="eastAsia" w:ascii="仿宋_GB2312" w:hAnsi="仿宋_GB2312" w:eastAsia="仿宋_GB2312"/>
          <w:color w:val="auto"/>
          <w:sz w:val="32"/>
          <w:szCs w:val="32"/>
          <w:highlight w:val="none"/>
          <w:lang w:eastAsia="zh-CN"/>
        </w:rPr>
        <w:t>所属县（市、</w:t>
      </w:r>
      <w:r>
        <w:rPr>
          <w:rFonts w:hint="eastAsia" w:ascii="仿宋_GB2312" w:hAnsi="仿宋_GB2312" w:eastAsia="仿宋_GB2312"/>
          <w:color w:val="auto"/>
          <w:sz w:val="32"/>
          <w:szCs w:val="32"/>
          <w:highlight w:val="none"/>
        </w:rPr>
        <w:t>区</w:t>
      </w:r>
      <w:r>
        <w:rPr>
          <w:rFonts w:hint="eastAsia" w:ascii="仿宋_GB2312" w:hAnsi="仿宋_GB2312" w:eastAsia="仿宋_GB2312"/>
          <w:color w:val="auto"/>
          <w:sz w:val="32"/>
          <w:szCs w:val="32"/>
          <w:highlight w:val="none"/>
          <w:lang w:val="en-US" w:eastAsia="zh-CN"/>
        </w:rPr>
        <w:t>）</w:t>
      </w:r>
      <w:r>
        <w:rPr>
          <w:rFonts w:hint="eastAsia" w:ascii="仿宋_GB2312" w:hAnsi="仿宋_GB2312" w:eastAsia="仿宋_GB2312"/>
          <w:color w:val="auto"/>
          <w:sz w:val="32"/>
          <w:szCs w:val="32"/>
          <w:highlight w:val="none"/>
        </w:rPr>
        <w:t>商务部门</w:t>
      </w:r>
      <w:r>
        <w:rPr>
          <w:rFonts w:hint="eastAsia" w:ascii="仿宋_GB2312" w:hAnsi="仿宋_GB2312" w:eastAsia="仿宋_GB2312"/>
          <w:color w:val="auto"/>
          <w:sz w:val="32"/>
          <w:szCs w:val="32"/>
          <w:highlight w:val="none"/>
          <w:lang w:eastAsia="zh-CN"/>
        </w:rPr>
        <w:t>或所属行业主管部门</w:t>
      </w:r>
      <w:r>
        <w:rPr>
          <w:rFonts w:hint="eastAsia" w:ascii="仿宋_GB2312" w:hAnsi="仿宋_GB2312" w:eastAsia="仿宋_GB2312"/>
          <w:color w:val="auto"/>
          <w:sz w:val="32"/>
          <w:szCs w:val="32"/>
          <w:highlight w:val="none"/>
        </w:rPr>
        <w:t>提交申报材料。</w:t>
      </w:r>
    </w:p>
    <w:p w14:paraId="7B340AD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olor w:val="auto"/>
          <w:sz w:val="32"/>
          <w:szCs w:val="32"/>
          <w:highlight w:val="none"/>
        </w:rPr>
      </w:pPr>
      <w:r>
        <w:rPr>
          <w:rFonts w:hint="eastAsia" w:ascii="仿宋_GB2312" w:hAnsi="仿宋_GB2312" w:eastAsia="仿宋_GB2312"/>
          <w:color w:val="auto"/>
          <w:sz w:val="32"/>
          <w:szCs w:val="32"/>
          <w:highlight w:val="none"/>
          <w:lang w:eastAsia="zh-CN"/>
        </w:rPr>
        <w:t>（</w:t>
      </w:r>
      <w:r>
        <w:rPr>
          <w:rFonts w:hint="eastAsia" w:ascii="仿宋_GB2312" w:hAnsi="仿宋_GB2312" w:eastAsia="仿宋_GB2312"/>
          <w:color w:val="auto"/>
          <w:sz w:val="32"/>
          <w:szCs w:val="32"/>
          <w:highlight w:val="none"/>
          <w:lang w:val="en-US" w:eastAsia="zh-CN"/>
        </w:rPr>
        <w:t>一）石家庄市现代商贸流通体系试点项目申请书</w:t>
      </w:r>
      <w:r>
        <w:rPr>
          <w:rFonts w:hint="eastAsia" w:ascii="仿宋_GB2312" w:hAnsi="仿宋_GB2312" w:eastAsia="仿宋_GB2312"/>
          <w:color w:val="auto"/>
          <w:sz w:val="32"/>
          <w:szCs w:val="32"/>
          <w:highlight w:val="none"/>
        </w:rPr>
        <w:t>。申报单位按照申报材料要求编写项目申请书并提供相关证明材料，</w:t>
      </w:r>
      <w:r>
        <w:rPr>
          <w:rFonts w:hint="eastAsia" w:ascii="仿宋_GB2312" w:hAnsi="仿宋_GB2312" w:eastAsia="仿宋_GB2312"/>
          <w:color w:val="auto"/>
          <w:sz w:val="32"/>
          <w:szCs w:val="32"/>
          <w:highlight w:val="none"/>
        </w:rPr>
        <w:fldChar w:fldCharType="begin"/>
      </w:r>
      <w:r>
        <w:rPr>
          <w:rFonts w:hint="eastAsia" w:ascii="仿宋_GB2312" w:hAnsi="仿宋_GB2312" w:eastAsia="仿宋_GB2312"/>
          <w:color w:val="auto"/>
          <w:sz w:val="32"/>
          <w:szCs w:val="32"/>
          <w:highlight w:val="none"/>
        </w:rPr>
        <w:instrText xml:space="preserve"> HYPERLINK "http://www.gdzwfw.gov.cn/—选择\“深圳市\”—**区商务部门—\“现代商贸流通体系试点事项\”—点击\“立即办理\”在线填报数据—点击提交）。同一企业实施的跨多个区项目，通过企业注册地所在区商务部门报送，若采用联合申报的方式，向母公司注册地所在区商务部门报送，逾期未申报者视为自动放弃。" </w:instrText>
      </w:r>
      <w:r>
        <w:rPr>
          <w:rFonts w:hint="eastAsia" w:ascii="仿宋_GB2312" w:hAnsi="仿宋_GB2312" w:eastAsia="仿宋_GB2312"/>
          <w:color w:val="auto"/>
          <w:sz w:val="32"/>
          <w:szCs w:val="32"/>
          <w:highlight w:val="none"/>
        </w:rPr>
        <w:fldChar w:fldCharType="separate"/>
      </w:r>
      <w:r>
        <w:rPr>
          <w:rFonts w:hint="eastAsia" w:ascii="仿宋_GB2312" w:hAnsi="仿宋_GB2312" w:eastAsia="仿宋_GB2312"/>
          <w:color w:val="auto"/>
          <w:sz w:val="32"/>
          <w:szCs w:val="32"/>
          <w:highlight w:val="none"/>
          <w:lang w:eastAsia="zh-CN"/>
        </w:rPr>
        <w:t>由相关县（市、区）商务或行业主管部门</w:t>
      </w:r>
      <w:r>
        <w:rPr>
          <w:rFonts w:hint="eastAsia" w:ascii="仿宋_GB2312" w:hAnsi="仿宋_GB2312" w:eastAsia="仿宋_GB2312"/>
          <w:color w:val="auto"/>
          <w:sz w:val="32"/>
          <w:szCs w:val="32"/>
          <w:highlight w:val="none"/>
        </w:rPr>
        <w:t>初审通过后</w:t>
      </w:r>
      <w:r>
        <w:rPr>
          <w:rFonts w:hint="eastAsia" w:ascii="仿宋_GB2312" w:hAnsi="仿宋_GB2312" w:eastAsia="仿宋_GB2312"/>
          <w:color w:val="auto"/>
          <w:sz w:val="32"/>
          <w:szCs w:val="32"/>
          <w:highlight w:val="none"/>
          <w:lang w:eastAsia="zh-CN"/>
        </w:rPr>
        <w:t>，</w:t>
      </w:r>
      <w:r>
        <w:rPr>
          <w:rFonts w:hint="eastAsia" w:ascii="仿宋_GB2312" w:hAnsi="仿宋_GB2312" w:eastAsia="仿宋_GB2312"/>
          <w:color w:val="auto"/>
          <w:sz w:val="32"/>
          <w:szCs w:val="32"/>
          <w:highlight w:val="none"/>
        </w:rPr>
        <w:t>提供申请书纸质文件原件</w:t>
      </w:r>
      <w:r>
        <w:rPr>
          <w:rFonts w:hint="eastAsia" w:ascii="仿宋_GB2312" w:hAnsi="仿宋_GB2312" w:eastAsia="仿宋_GB2312"/>
          <w:color w:val="auto"/>
          <w:sz w:val="32"/>
          <w:szCs w:val="32"/>
          <w:highlight w:val="none"/>
          <w:lang w:eastAsia="zh-CN"/>
        </w:rPr>
        <w:t>。</w:t>
      </w:r>
      <w:r>
        <w:rPr>
          <w:rFonts w:hint="eastAsia" w:ascii="仿宋_GB2312" w:hAnsi="仿宋_GB2312" w:eastAsia="仿宋_GB2312"/>
          <w:color w:val="auto"/>
          <w:sz w:val="32"/>
          <w:szCs w:val="32"/>
          <w:highlight w:val="none"/>
        </w:rPr>
        <w:fldChar w:fldCharType="end"/>
      </w:r>
    </w:p>
    <w:p w14:paraId="4250241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olor w:val="auto"/>
          <w:sz w:val="32"/>
          <w:szCs w:val="32"/>
          <w:highlight w:val="none"/>
          <w:lang w:eastAsia="zh-CN"/>
        </w:rPr>
      </w:pPr>
      <w:r>
        <w:rPr>
          <w:rFonts w:hint="eastAsia" w:ascii="仿宋_GB2312" w:hAnsi="仿宋_GB2312" w:eastAsia="仿宋_GB2312"/>
          <w:color w:val="auto"/>
          <w:sz w:val="32"/>
          <w:szCs w:val="32"/>
          <w:highlight w:val="none"/>
        </w:rPr>
        <w:t>（二）</w:t>
      </w:r>
      <w:r>
        <w:rPr>
          <w:rFonts w:hint="eastAsia" w:ascii="仿宋_GB2312" w:hAnsi="仿宋_GB2312" w:eastAsia="仿宋_GB2312"/>
          <w:color w:val="auto"/>
          <w:sz w:val="32"/>
          <w:szCs w:val="32"/>
          <w:highlight w:val="none"/>
          <w:lang w:val="en-US" w:eastAsia="zh-CN"/>
        </w:rPr>
        <w:t>项</w:t>
      </w:r>
      <w:r>
        <w:rPr>
          <w:rFonts w:hint="eastAsia" w:ascii="仿宋_GB2312" w:hAnsi="仿宋_GB2312" w:eastAsia="仿宋_GB2312"/>
          <w:color w:val="auto"/>
          <w:sz w:val="32"/>
          <w:szCs w:val="32"/>
          <w:highlight w:val="none"/>
        </w:rPr>
        <w:t>目建设方案。主要包括项目建设必要性、项目建设可行性、项目建设内容、项目建设进度、项目投资估算和资金来源及风险分析等</w:t>
      </w:r>
      <w:r>
        <w:rPr>
          <w:rFonts w:hint="eastAsia" w:ascii="仿宋_GB2312" w:hAnsi="仿宋_GB2312" w:eastAsia="仿宋_GB2312"/>
          <w:color w:val="auto"/>
          <w:sz w:val="32"/>
          <w:szCs w:val="32"/>
          <w:highlight w:val="none"/>
          <w:lang w:eastAsia="zh-CN"/>
        </w:rPr>
        <w:t>。</w:t>
      </w:r>
    </w:p>
    <w:p w14:paraId="63AEFBB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olor w:val="auto"/>
          <w:sz w:val="32"/>
          <w:szCs w:val="32"/>
          <w:highlight w:val="none"/>
          <w:lang w:val="en-US" w:eastAsia="zh-CN"/>
        </w:rPr>
      </w:pPr>
      <w:r>
        <w:rPr>
          <w:rFonts w:hint="eastAsia" w:ascii="仿宋_GB2312" w:hAnsi="仿宋_GB2312" w:eastAsia="仿宋_GB2312"/>
          <w:color w:val="auto"/>
          <w:sz w:val="32"/>
          <w:szCs w:val="32"/>
          <w:highlight w:val="none"/>
          <w:lang w:eastAsia="zh-CN"/>
        </w:rPr>
        <w:t>（</w:t>
      </w:r>
      <w:r>
        <w:rPr>
          <w:rFonts w:hint="eastAsia" w:ascii="仿宋_GB2312" w:hAnsi="仿宋_GB2312" w:eastAsia="仿宋_GB2312"/>
          <w:color w:val="auto"/>
          <w:sz w:val="32"/>
          <w:szCs w:val="32"/>
          <w:highlight w:val="none"/>
          <w:lang w:val="en-US" w:eastAsia="zh-CN"/>
        </w:rPr>
        <w:t>三）上年度相关财务报表(资产负债表、利润表、现金流量表)及纳税证明。</w:t>
      </w:r>
    </w:p>
    <w:p w14:paraId="120B25D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olor w:val="auto"/>
          <w:sz w:val="32"/>
          <w:szCs w:val="32"/>
          <w:highlight w:val="none"/>
          <w:lang w:val="en-US" w:eastAsia="zh-CN"/>
        </w:rPr>
      </w:pPr>
      <w:r>
        <w:rPr>
          <w:rFonts w:hint="eastAsia" w:ascii="仿宋_GB2312" w:hAnsi="仿宋_GB2312" w:eastAsia="仿宋_GB2312"/>
          <w:color w:val="auto"/>
          <w:sz w:val="32"/>
          <w:szCs w:val="32"/>
          <w:highlight w:val="none"/>
          <w:lang w:val="en-US" w:eastAsia="zh-CN"/>
        </w:rPr>
        <w:t>（四）项目建设资金证明（包括企业自有资金、政府财政配套资金及银行贷款合同，吸纳风险投资或其他资金的证明文件等）。</w:t>
      </w:r>
    </w:p>
    <w:p w14:paraId="5DEF2D6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olor w:val="auto"/>
          <w:sz w:val="32"/>
          <w:szCs w:val="32"/>
          <w:highlight w:val="none"/>
          <w:lang w:val="en-US" w:eastAsia="zh-CN"/>
        </w:rPr>
      </w:pPr>
      <w:r>
        <w:rPr>
          <w:rFonts w:hint="eastAsia" w:ascii="仿宋_GB2312" w:hAnsi="仿宋_GB2312" w:eastAsia="仿宋_GB2312"/>
          <w:color w:val="auto"/>
          <w:sz w:val="32"/>
          <w:szCs w:val="32"/>
          <w:highlight w:val="none"/>
          <w:lang w:val="en-US" w:eastAsia="zh-CN"/>
        </w:rPr>
        <w:t>（五）项目可行性分析报告（本单位整体工作基础、项目建设与现代商贸流通体系工作的关联度、建设过程中存在问题及发展方向等）。</w:t>
      </w:r>
    </w:p>
    <w:p w14:paraId="0586DB5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olor w:val="auto"/>
          <w:sz w:val="32"/>
          <w:szCs w:val="32"/>
          <w:highlight w:val="none"/>
          <w:lang w:val="en-US" w:eastAsia="zh-CN"/>
        </w:rPr>
      </w:pPr>
      <w:r>
        <w:rPr>
          <w:rFonts w:hint="eastAsia" w:ascii="仿宋_GB2312" w:hAnsi="仿宋_GB2312" w:eastAsia="仿宋_GB2312"/>
          <w:color w:val="auto"/>
          <w:sz w:val="32"/>
          <w:szCs w:val="32"/>
          <w:highlight w:val="none"/>
          <w:lang w:val="en-US" w:eastAsia="zh-CN"/>
        </w:rPr>
        <w:t>（六）项目建设实施地点的场地佐证材料（自有房产证或房屋租赁合同）。</w:t>
      </w:r>
    </w:p>
    <w:p w14:paraId="098FE19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olor w:val="auto"/>
          <w:sz w:val="32"/>
          <w:szCs w:val="32"/>
          <w:highlight w:val="none"/>
          <w:lang w:val="en-US" w:eastAsia="zh-CN"/>
        </w:rPr>
      </w:pPr>
      <w:r>
        <w:rPr>
          <w:rFonts w:hint="eastAsia" w:ascii="仿宋_GB2312" w:hAnsi="仿宋_GB2312" w:eastAsia="仿宋_GB2312"/>
          <w:color w:val="auto"/>
          <w:sz w:val="32"/>
          <w:szCs w:val="32"/>
          <w:highlight w:val="none"/>
          <w:lang w:val="en-US" w:eastAsia="zh-CN"/>
        </w:rPr>
        <w:t>（七）已开工项目的立项、环保、规划、土地、施工等各项许可文件（按项目实际情况提供）。</w:t>
      </w:r>
    </w:p>
    <w:p w14:paraId="0C26424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olor w:val="auto"/>
          <w:sz w:val="32"/>
          <w:szCs w:val="32"/>
          <w:highlight w:val="none"/>
          <w:lang w:val="en-US" w:eastAsia="zh-CN"/>
        </w:rPr>
      </w:pPr>
      <w:r>
        <w:rPr>
          <w:rFonts w:hint="eastAsia" w:ascii="仿宋_GB2312" w:hAnsi="仿宋_GB2312" w:eastAsia="仿宋_GB2312"/>
          <w:color w:val="auto"/>
          <w:sz w:val="32"/>
          <w:szCs w:val="32"/>
          <w:highlight w:val="none"/>
          <w:lang w:val="en-US" w:eastAsia="zh-CN"/>
        </w:rPr>
        <w:t>（八）营业证明、法人代表人身份证复印件。</w:t>
      </w:r>
    </w:p>
    <w:p w14:paraId="1354C20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olor w:val="auto"/>
          <w:sz w:val="32"/>
          <w:szCs w:val="32"/>
          <w:highlight w:val="none"/>
          <w:lang w:val="en-US" w:eastAsia="zh-CN"/>
        </w:rPr>
      </w:pPr>
      <w:r>
        <w:rPr>
          <w:rFonts w:hint="eastAsia" w:ascii="仿宋_GB2312" w:hAnsi="仿宋_GB2312" w:eastAsia="仿宋_GB2312"/>
          <w:color w:val="auto"/>
          <w:sz w:val="32"/>
          <w:szCs w:val="32"/>
          <w:highlight w:val="none"/>
          <w:lang w:val="en-US" w:eastAsia="zh-CN"/>
        </w:rPr>
        <w:t>（九）企业信用报告</w:t>
      </w:r>
      <w:r>
        <w:rPr>
          <w:rFonts w:hint="default" w:ascii="仿宋_GB2312" w:hAnsi="仿宋_GB2312" w:eastAsia="仿宋_GB2312"/>
          <w:color w:val="auto"/>
          <w:sz w:val="32"/>
          <w:szCs w:val="32"/>
          <w:highlight w:val="none"/>
          <w:lang w:eastAsia="zh-CN"/>
        </w:rPr>
        <w:t>（通过“信用中国”网站下载）</w:t>
      </w:r>
      <w:r>
        <w:rPr>
          <w:rFonts w:hint="eastAsia" w:ascii="仿宋_GB2312" w:hAnsi="仿宋_GB2312" w:eastAsia="仿宋_GB2312"/>
          <w:color w:val="auto"/>
          <w:sz w:val="32"/>
          <w:szCs w:val="32"/>
          <w:highlight w:val="none"/>
          <w:lang w:eastAsia="zh-CN"/>
        </w:rPr>
        <w:t>及</w:t>
      </w:r>
      <w:r>
        <w:rPr>
          <w:rFonts w:hint="eastAsia" w:ascii="仿宋_GB2312" w:hAnsi="仿宋_GB2312" w:eastAsia="仿宋_GB2312"/>
          <w:color w:val="auto"/>
          <w:sz w:val="32"/>
          <w:szCs w:val="32"/>
          <w:highlight w:val="none"/>
          <w:lang w:val="en-US" w:eastAsia="zh-CN"/>
        </w:rPr>
        <w:t>其他相关证明材料（国家级荣誉证书的复印件等）。</w:t>
      </w:r>
    </w:p>
    <w:p w14:paraId="3FC3013A">
      <w:pPr>
        <w:keepNext w:val="0"/>
        <w:keepLines w:val="0"/>
        <w:pageBreakBefore w:val="0"/>
        <w:kinsoku/>
        <w:wordWrap/>
        <w:overflowPunct w:val="0"/>
        <w:topLinePunct w:val="0"/>
        <w:autoSpaceDE/>
        <w:autoSpaceDN/>
        <w:bidi w:val="0"/>
        <w:adjustRightInd w:val="0"/>
        <w:snapToGrid w:val="0"/>
        <w:spacing w:line="560" w:lineRule="exact"/>
        <w:ind w:left="0" w:right="0" w:firstLine="640" w:firstLineChars="200"/>
        <w:textAlignment w:val="auto"/>
        <w:rPr>
          <w:rFonts w:hint="eastAsia" w:ascii="仿宋_GB2312" w:eastAsia="仿宋_GB2312"/>
          <w:color w:val="auto"/>
          <w:sz w:val="32"/>
          <w:szCs w:val="32"/>
          <w:highlight w:val="none"/>
        </w:rPr>
      </w:pPr>
      <w:r>
        <w:rPr>
          <w:rFonts w:hint="eastAsia" w:ascii="仿宋_GB2312" w:hAnsi="仿宋_GB2312" w:eastAsia="仿宋_GB2312"/>
          <w:color w:val="auto"/>
          <w:sz w:val="32"/>
          <w:szCs w:val="32"/>
          <w:highlight w:val="none"/>
        </w:rPr>
        <w:t>以上申报材料按顺序一式</w:t>
      </w:r>
      <w:r>
        <w:rPr>
          <w:rFonts w:hint="eastAsia" w:ascii="仿宋_GB2312" w:hAnsi="仿宋_GB2312" w:eastAsia="仿宋_GB2312"/>
          <w:color w:val="auto"/>
          <w:sz w:val="32"/>
          <w:szCs w:val="32"/>
          <w:highlight w:val="none"/>
          <w:lang w:eastAsia="zh-CN"/>
        </w:rPr>
        <w:t>四</w:t>
      </w:r>
      <w:r>
        <w:rPr>
          <w:rFonts w:hint="eastAsia" w:ascii="仿宋_GB2312" w:hAnsi="仿宋_GB2312" w:eastAsia="仿宋_GB2312"/>
          <w:color w:val="auto"/>
          <w:sz w:val="32"/>
          <w:szCs w:val="32"/>
          <w:highlight w:val="none"/>
        </w:rPr>
        <w:t>份胶装装订成册</w:t>
      </w:r>
      <w:r>
        <w:rPr>
          <w:rFonts w:hint="eastAsia" w:ascii="仿宋_GB2312" w:hAnsi="仿宋_GB2312" w:eastAsia="仿宋_GB2312"/>
          <w:color w:val="auto"/>
          <w:sz w:val="32"/>
          <w:szCs w:val="32"/>
          <w:highlight w:val="none"/>
          <w:lang w:eastAsia="zh-CN"/>
        </w:rPr>
        <w:t>（</w:t>
      </w:r>
      <w:r>
        <w:rPr>
          <w:rFonts w:hint="eastAsia" w:ascii="仿宋_GB2312" w:hAnsi="仿宋_GB2312" w:eastAsia="仿宋_GB2312"/>
          <w:color w:val="auto"/>
          <w:sz w:val="32"/>
          <w:szCs w:val="32"/>
          <w:highlight w:val="none"/>
        </w:rPr>
        <w:t>附可编辑电子版和PDF扫描件</w:t>
      </w:r>
      <w:r>
        <w:rPr>
          <w:rFonts w:hint="eastAsia" w:ascii="仿宋_GB2312" w:hAnsi="仿宋_GB2312" w:eastAsia="仿宋_GB2312"/>
          <w:color w:val="auto"/>
          <w:sz w:val="32"/>
          <w:szCs w:val="32"/>
          <w:highlight w:val="none"/>
          <w:lang w:eastAsia="zh-CN"/>
        </w:rPr>
        <w:t>）</w:t>
      </w:r>
      <w:r>
        <w:rPr>
          <w:rFonts w:hint="eastAsia" w:ascii="仿宋_GB2312" w:eastAsia="仿宋_GB2312"/>
          <w:color w:val="auto"/>
          <w:sz w:val="32"/>
          <w:szCs w:val="32"/>
          <w:highlight w:val="none"/>
          <w:lang w:eastAsia="zh-CN"/>
        </w:rPr>
        <w:t>；</w:t>
      </w:r>
      <w:r>
        <w:rPr>
          <w:rFonts w:hint="eastAsia" w:ascii="仿宋_GB2312" w:eastAsia="仿宋_GB2312"/>
          <w:color w:val="auto"/>
          <w:sz w:val="32"/>
          <w:szCs w:val="32"/>
          <w:highlight w:val="none"/>
        </w:rPr>
        <w:t>封面统一用白铜版纸</w:t>
      </w:r>
      <w:r>
        <w:rPr>
          <w:rFonts w:hint="eastAsia" w:ascii="仿宋_GB2312" w:eastAsia="仿宋_GB2312"/>
          <w:color w:val="auto"/>
          <w:sz w:val="32"/>
          <w:szCs w:val="32"/>
          <w:highlight w:val="none"/>
          <w:lang w:eastAsia="zh-CN"/>
        </w:rPr>
        <w:t>；</w:t>
      </w:r>
      <w:r>
        <w:rPr>
          <w:rFonts w:hint="eastAsia" w:ascii="仿宋_GB2312" w:eastAsia="仿宋_GB2312"/>
          <w:color w:val="auto"/>
          <w:sz w:val="32"/>
          <w:szCs w:val="32"/>
          <w:highlight w:val="none"/>
        </w:rPr>
        <w:t>封面、项目申报表等处</w:t>
      </w:r>
      <w:r>
        <w:rPr>
          <w:rFonts w:hint="eastAsia" w:ascii="仿宋_GB2312" w:eastAsia="仿宋_GB2312"/>
          <w:color w:val="auto"/>
          <w:sz w:val="32"/>
          <w:szCs w:val="32"/>
          <w:highlight w:val="none"/>
          <w:lang w:eastAsia="zh-CN"/>
        </w:rPr>
        <w:t>需</w:t>
      </w:r>
      <w:r>
        <w:rPr>
          <w:rFonts w:hint="eastAsia" w:ascii="仿宋_GB2312" w:eastAsia="仿宋_GB2312"/>
          <w:color w:val="auto"/>
          <w:sz w:val="32"/>
          <w:szCs w:val="32"/>
          <w:highlight w:val="none"/>
        </w:rPr>
        <w:t>加盖公章，多页的还需加盖骑缝公章；</w:t>
      </w:r>
      <w:r>
        <w:rPr>
          <w:rFonts w:hint="default" w:ascii="仿宋_GB2312" w:eastAsia="仿宋_GB2312"/>
          <w:color w:val="auto"/>
          <w:sz w:val="32"/>
          <w:szCs w:val="32"/>
          <w:highlight w:val="none"/>
        </w:rPr>
        <w:t>需要签字的，应以正楷字体签字</w:t>
      </w:r>
      <w:r>
        <w:rPr>
          <w:rFonts w:hint="eastAsia" w:ascii="仿宋_GB2312" w:eastAsia="仿宋_GB2312"/>
          <w:color w:val="auto"/>
          <w:sz w:val="32"/>
          <w:szCs w:val="32"/>
          <w:highlight w:val="none"/>
        </w:rPr>
        <w:t>。所有证件均需在有效期内。要有统一目录、统一页码（营业执照等复印件页码可手写补充，其它页码电脑打印，保证材料页码整体连续）。</w:t>
      </w:r>
    </w:p>
    <w:p w14:paraId="0EC43389">
      <w:pPr>
        <w:keepNext w:val="0"/>
        <w:keepLines w:val="0"/>
        <w:pageBreakBefore w:val="0"/>
        <w:kinsoku/>
        <w:topLinePunct w:val="0"/>
        <w:autoSpaceDE/>
        <w:autoSpaceDN/>
        <w:bidi w:val="0"/>
        <w:spacing w:line="560" w:lineRule="exact"/>
        <w:ind w:firstLine="640" w:firstLineChars="20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六</w:t>
      </w:r>
      <w:r>
        <w:rPr>
          <w:rFonts w:hint="eastAsia" w:ascii="黑体" w:hAnsi="黑体" w:eastAsia="黑体" w:cs="黑体"/>
          <w:color w:val="auto"/>
          <w:sz w:val="32"/>
          <w:szCs w:val="32"/>
          <w:highlight w:val="none"/>
        </w:rPr>
        <w:t>、</w:t>
      </w:r>
      <w:r>
        <w:rPr>
          <w:rFonts w:hint="eastAsia" w:ascii="黑体" w:hAnsi="黑体" w:eastAsia="黑体" w:cs="黑体"/>
          <w:color w:val="auto"/>
          <w:sz w:val="32"/>
          <w:szCs w:val="32"/>
          <w:highlight w:val="none"/>
          <w:lang w:eastAsia="zh-CN"/>
        </w:rPr>
        <w:t>受理信息</w:t>
      </w:r>
    </w:p>
    <w:p w14:paraId="5E5FE7E5">
      <w:pPr>
        <w:keepNext w:val="0"/>
        <w:keepLines w:val="0"/>
        <w:pageBreakBefore w:val="0"/>
        <w:kinsoku/>
        <w:wordWrap/>
        <w:topLinePunct w:val="0"/>
        <w:autoSpaceDE/>
        <w:autoSpaceDN/>
        <w:bidi w:val="0"/>
        <w:spacing w:line="560" w:lineRule="exact"/>
        <w:ind w:left="0" w:right="0" w:firstLine="640" w:firstLineChars="200"/>
        <w:textAlignment w:val="auto"/>
        <w:rPr>
          <w:rFonts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rPr>
        <w:t>（一）受理机关</w:t>
      </w:r>
    </w:p>
    <w:p w14:paraId="37F8EE68">
      <w:pPr>
        <w:keepNext w:val="0"/>
        <w:keepLines w:val="0"/>
        <w:pageBreakBefore w:val="0"/>
        <w:kinsoku/>
        <w:wordWrap/>
        <w:topLinePunct w:val="0"/>
        <w:autoSpaceDE/>
        <w:autoSpaceDN/>
        <w:bidi w:val="0"/>
        <w:spacing w:line="560" w:lineRule="exact"/>
        <w:ind w:left="0" w:right="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县（市、区）级</w:t>
      </w:r>
      <w:r>
        <w:rPr>
          <w:rFonts w:hint="eastAsia" w:ascii="仿宋_GB2312" w:hAnsi="仿宋_GB2312" w:eastAsia="仿宋_GB2312" w:cs="仿宋_GB2312"/>
          <w:color w:val="auto"/>
          <w:sz w:val="32"/>
          <w:szCs w:val="32"/>
          <w:highlight w:val="none"/>
        </w:rPr>
        <w:t>商务</w:t>
      </w:r>
      <w:r>
        <w:rPr>
          <w:rFonts w:hint="eastAsia" w:ascii="仿宋_GB2312" w:hAnsi="仿宋_GB2312" w:eastAsia="仿宋_GB2312" w:cs="仿宋_GB2312"/>
          <w:color w:val="auto"/>
          <w:sz w:val="32"/>
          <w:szCs w:val="32"/>
          <w:highlight w:val="none"/>
          <w:lang w:eastAsia="zh-CN"/>
        </w:rPr>
        <w:t>主管</w:t>
      </w:r>
      <w:r>
        <w:rPr>
          <w:rFonts w:hint="eastAsia" w:ascii="仿宋_GB2312" w:hAnsi="仿宋_GB2312" w:eastAsia="仿宋_GB2312" w:cs="仿宋_GB2312"/>
          <w:color w:val="auto"/>
          <w:sz w:val="32"/>
          <w:szCs w:val="32"/>
          <w:highlight w:val="none"/>
          <w:lang w:val="en-US" w:eastAsia="zh-CN"/>
        </w:rPr>
        <w:t>部门、市供销社等行业主管部门</w:t>
      </w:r>
    </w:p>
    <w:p w14:paraId="2B3B6B13">
      <w:pPr>
        <w:keepNext w:val="0"/>
        <w:keepLines w:val="0"/>
        <w:pageBreakBefore w:val="0"/>
        <w:kinsoku/>
        <w:wordWrap/>
        <w:topLinePunct w:val="0"/>
        <w:autoSpaceDE/>
        <w:autoSpaceDN/>
        <w:bidi w:val="0"/>
        <w:spacing w:line="560" w:lineRule="exact"/>
        <w:ind w:left="0" w:right="0" w:firstLine="640" w:firstLineChars="200"/>
        <w:textAlignment w:val="auto"/>
        <w:rPr>
          <w:rFonts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rPr>
        <w:t>（二）受理时间</w:t>
      </w:r>
    </w:p>
    <w:p w14:paraId="6291BB74">
      <w:pPr>
        <w:keepNext w:val="0"/>
        <w:keepLines w:val="0"/>
        <w:pageBreakBefore w:val="0"/>
        <w:kinsoku/>
        <w:wordWrap/>
        <w:topLinePunct w:val="0"/>
        <w:autoSpaceDE/>
        <w:autoSpaceDN/>
        <w:bidi w:val="0"/>
        <w:spacing w:line="560" w:lineRule="exact"/>
        <w:ind w:left="0" w:right="0"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eastAsia="zh-CN"/>
        </w:rPr>
        <w:t>滚动征集、集中评审</w:t>
      </w:r>
      <w:bookmarkStart w:id="0" w:name="_GoBack"/>
      <w:bookmarkEnd w:id="0"/>
    </w:p>
    <w:p w14:paraId="2BDAE9C7">
      <w:pPr>
        <w:keepNext w:val="0"/>
        <w:keepLines w:val="0"/>
        <w:pageBreakBefore w:val="0"/>
        <w:widowControl/>
        <w:numPr>
          <w:ilvl w:val="-1"/>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楷体_GB2312" w:hAnsi="楷体_GB2312" w:eastAsia="楷体_GB2312" w:cs="楷体_GB2312"/>
          <w:color w:val="auto"/>
          <w:sz w:val="32"/>
          <w:szCs w:val="32"/>
          <w:highlight w:val="none"/>
          <w:lang w:eastAsia="zh-CN"/>
        </w:rPr>
      </w:pPr>
      <w:r>
        <w:rPr>
          <w:rFonts w:hint="eastAsia" w:ascii="楷体_GB2312" w:hAnsi="楷体_GB2312" w:eastAsia="楷体_GB2312" w:cs="楷体_GB2312"/>
          <w:color w:val="auto"/>
          <w:sz w:val="32"/>
          <w:szCs w:val="32"/>
          <w:highlight w:val="none"/>
        </w:rPr>
        <w:t>（三）</w:t>
      </w:r>
      <w:r>
        <w:rPr>
          <w:rFonts w:hint="eastAsia" w:ascii="楷体_GB2312" w:hAnsi="楷体_GB2312" w:eastAsia="楷体_GB2312" w:cs="楷体_GB2312"/>
          <w:color w:val="auto"/>
          <w:sz w:val="32"/>
          <w:szCs w:val="32"/>
          <w:highlight w:val="none"/>
          <w:lang w:eastAsia="zh-CN"/>
        </w:rPr>
        <w:t>咨询电话</w:t>
      </w:r>
    </w:p>
    <w:p w14:paraId="7E113E05">
      <w:pPr>
        <w:pStyle w:val="3"/>
        <w:spacing w:line="560" w:lineRule="exact"/>
        <w:rPr>
          <w:rFonts w:hint="eastAsia" w:ascii="仿宋_GB2312" w:hAnsi="仿宋_GB2312" w:eastAsia="仿宋_GB2312"/>
          <w:b/>
          <w:bCs/>
          <w:color w:val="auto"/>
          <w:sz w:val="32"/>
          <w:szCs w:val="32"/>
          <w:highlight w:val="none"/>
          <w:lang w:val="en-US" w:eastAsia="zh-CN"/>
        </w:rPr>
      </w:pPr>
      <w:r>
        <w:rPr>
          <w:rFonts w:hint="eastAsia" w:ascii="仿宋_GB2312" w:hAnsi="仿宋_GB2312" w:eastAsia="仿宋_GB2312"/>
          <w:b/>
          <w:bCs/>
          <w:color w:val="auto"/>
          <w:sz w:val="32"/>
          <w:szCs w:val="32"/>
          <w:highlight w:val="none"/>
          <w:lang w:val="en-US" w:eastAsia="zh-CN"/>
        </w:rPr>
        <w:t>各县（市、区）商务主管部门业务咨询电话：</w:t>
      </w:r>
    </w:p>
    <w:p w14:paraId="6E120D3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color w:val="auto"/>
          <w:highlight w:val="none"/>
          <w:lang w:val="en-US" w:eastAsia="zh-CN"/>
        </w:rPr>
      </w:pPr>
      <w:r>
        <w:rPr>
          <w:rFonts w:hint="eastAsia" w:ascii="仿宋_GB2312" w:hAnsi="仿宋_GB2312" w:eastAsia="仿宋_GB2312"/>
          <w:color w:val="auto"/>
          <w:sz w:val="32"/>
          <w:szCs w:val="32"/>
          <w:highlight w:val="none"/>
          <w:lang w:val="en-US" w:eastAsia="zh-CN"/>
        </w:rPr>
        <w:t>长安区85996859；桥西区66086989；新华区86952239；裕华区86578564；高新区85096960；经开区88084566；栾城区85539165；井陉矿区82088792；藁城区88116755；鹿泉区82012872；正定县88023772；新乐市88594506；灵寿县</w:t>
      </w:r>
      <w:r>
        <w:rPr>
          <w:rFonts w:hint="eastAsia" w:ascii="仿宋_GB2312" w:hAnsi="仿宋_GB2312" w:eastAsia="仿宋_GB2312"/>
          <w:color w:val="auto"/>
          <w:sz w:val="32"/>
          <w:szCs w:val="32"/>
          <w:highlight w:val="none"/>
          <w:lang w:val="en-US" w:eastAsia="zh-CN"/>
        </w:rPr>
        <w:tab/>
      </w:r>
      <w:r>
        <w:rPr>
          <w:rFonts w:hint="eastAsia" w:ascii="仿宋_GB2312" w:hAnsi="仿宋_GB2312" w:eastAsia="仿宋_GB2312"/>
          <w:color w:val="auto"/>
          <w:sz w:val="32"/>
          <w:szCs w:val="32"/>
          <w:highlight w:val="none"/>
          <w:lang w:val="en-US" w:eastAsia="zh-CN"/>
        </w:rPr>
        <w:t>82523926；元氏县84620816；高邑县87585686；赵县84901857；深泽县</w:t>
      </w:r>
      <w:r>
        <w:rPr>
          <w:rFonts w:hint="eastAsia" w:ascii="仿宋_GB2312" w:hAnsi="仿宋_GB2312" w:eastAsia="仿宋_GB2312"/>
          <w:color w:val="auto"/>
          <w:sz w:val="32"/>
          <w:szCs w:val="32"/>
          <w:highlight w:val="none"/>
          <w:lang w:val="en-US" w:eastAsia="zh-CN"/>
        </w:rPr>
        <w:tab/>
      </w:r>
      <w:r>
        <w:rPr>
          <w:rFonts w:hint="eastAsia" w:ascii="仿宋_GB2312" w:hAnsi="仿宋_GB2312" w:eastAsia="仿宋_GB2312"/>
          <w:color w:val="auto"/>
          <w:sz w:val="32"/>
          <w:szCs w:val="32"/>
          <w:highlight w:val="none"/>
          <w:lang w:val="en-US" w:eastAsia="zh-CN"/>
        </w:rPr>
        <w:t xml:space="preserve">69136036；平山县82895182；晋州市69128298；赞皇县84221255；井陉县82021985；行唐县82981601；无极县85566202。   </w:t>
      </w:r>
    </w:p>
    <w:p w14:paraId="0D054526">
      <w:pPr>
        <w:pStyle w:val="3"/>
        <w:spacing w:line="560" w:lineRule="exact"/>
        <w:rPr>
          <w:rFonts w:hint="default" w:ascii="仿宋_GB2312" w:hAnsi="仿宋_GB2312" w:eastAsia="仿宋_GB2312"/>
          <w:b/>
          <w:bCs/>
          <w:color w:val="auto"/>
          <w:sz w:val="32"/>
          <w:szCs w:val="32"/>
          <w:highlight w:val="none"/>
          <w:lang w:val="en-US" w:eastAsia="zh-CN"/>
        </w:rPr>
      </w:pPr>
      <w:r>
        <w:rPr>
          <w:rFonts w:hint="eastAsia" w:ascii="仿宋_GB2312" w:hAnsi="仿宋_GB2312" w:eastAsia="仿宋_GB2312"/>
          <w:b/>
          <w:bCs/>
          <w:color w:val="auto"/>
          <w:sz w:val="32"/>
          <w:szCs w:val="32"/>
          <w:highlight w:val="none"/>
          <w:lang w:val="en-US" w:eastAsia="zh-CN"/>
        </w:rPr>
        <w:t>石家庄市商务局业务咨询电话：</w:t>
      </w:r>
    </w:p>
    <w:p w14:paraId="00DC63B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color w:val="auto"/>
          <w:sz w:val="32"/>
          <w:szCs w:val="32"/>
          <w:highlight w:val="none"/>
          <w:lang w:eastAsia="zh-CN"/>
        </w:rPr>
      </w:pPr>
      <w:r>
        <w:rPr>
          <w:rFonts w:hint="eastAsia" w:ascii="仿宋_GB2312" w:hAnsi="仿宋_GB2312" w:eastAsia="仿宋_GB2312"/>
          <w:color w:val="auto"/>
          <w:sz w:val="32"/>
          <w:szCs w:val="32"/>
          <w:highlight w:val="none"/>
          <w:lang w:val="en-US" w:eastAsia="zh-CN"/>
        </w:rPr>
        <w:t>流通科</w:t>
      </w:r>
      <w:r>
        <w:rPr>
          <w:rFonts w:hint="eastAsia" w:ascii="仿宋_GB2312" w:hAnsi="仿宋_GB2312" w:eastAsia="仿宋_GB2312" w:cs="仿宋_GB2312"/>
          <w:color w:val="auto"/>
          <w:sz w:val="32"/>
          <w:szCs w:val="32"/>
          <w:highlight w:val="none"/>
          <w:lang w:val="en-US" w:eastAsia="zh-CN"/>
        </w:rPr>
        <w:t>86688785；</w:t>
      </w:r>
      <w:r>
        <w:rPr>
          <w:rFonts w:hint="eastAsia" w:ascii="仿宋_GB2312" w:hAnsi="仿宋_GB2312" w:eastAsia="仿宋_GB2312"/>
          <w:color w:val="auto"/>
          <w:sz w:val="32"/>
          <w:szCs w:val="32"/>
          <w:highlight w:val="none"/>
          <w:lang w:val="en-US" w:eastAsia="zh-CN"/>
        </w:rPr>
        <w:t>建设科86689422、86687473</w:t>
      </w:r>
      <w:r>
        <w:rPr>
          <w:rFonts w:hint="eastAsia" w:ascii="仿宋_GB2312" w:hAnsi="仿宋_GB2312" w:eastAsia="仿宋_GB2312"/>
          <w:color w:val="auto"/>
          <w:sz w:val="32"/>
          <w:szCs w:val="32"/>
          <w:highlight w:val="none"/>
          <w:lang w:eastAsia="zh-CN"/>
        </w:rPr>
        <w:t>；</w:t>
      </w:r>
      <w:r>
        <w:rPr>
          <w:rFonts w:hint="eastAsia" w:ascii="仿宋_GB2312" w:hAnsi="仿宋_GB2312" w:eastAsia="仿宋_GB2312"/>
          <w:color w:val="auto"/>
          <w:sz w:val="32"/>
          <w:szCs w:val="32"/>
          <w:highlight w:val="none"/>
          <w:lang w:val="en-US" w:eastAsia="zh-CN"/>
        </w:rPr>
        <w:t>运行科86687525；市场中心：67507131；电商科86689088</w:t>
      </w:r>
      <w:r>
        <w:rPr>
          <w:rFonts w:hint="default" w:ascii="仿宋_GB2312" w:hAnsi="仿宋_GB2312" w:eastAsia="仿宋_GB2312" w:cs="仿宋_GB2312"/>
          <w:color w:val="auto"/>
          <w:sz w:val="32"/>
          <w:szCs w:val="32"/>
          <w:highlight w:val="none"/>
          <w:lang w:eastAsia="zh-CN"/>
        </w:rPr>
        <w:t>。</w:t>
      </w:r>
    </w:p>
    <w:p w14:paraId="54ADC48A">
      <w:pPr>
        <w:pStyle w:val="3"/>
        <w:spacing w:line="560" w:lineRule="exact"/>
        <w:rPr>
          <w:rFonts w:hint="default" w:ascii="仿宋_GB2312" w:hAnsi="仿宋_GB2312" w:eastAsia="仿宋_GB2312"/>
          <w:b/>
          <w:bCs/>
          <w:color w:val="auto"/>
          <w:sz w:val="32"/>
          <w:szCs w:val="32"/>
          <w:highlight w:val="none"/>
          <w:lang w:val="en-US" w:eastAsia="zh-CN"/>
        </w:rPr>
      </w:pPr>
      <w:r>
        <w:rPr>
          <w:rFonts w:hint="eastAsia" w:ascii="仿宋_GB2312" w:hAnsi="仿宋_GB2312" w:eastAsia="仿宋_GB2312"/>
          <w:b/>
          <w:bCs/>
          <w:color w:val="auto"/>
          <w:sz w:val="32"/>
          <w:szCs w:val="32"/>
          <w:highlight w:val="none"/>
          <w:lang w:val="en-US" w:eastAsia="zh-CN"/>
        </w:rPr>
        <w:t>石家庄市供销社业务咨询电话：86136769。</w:t>
      </w:r>
    </w:p>
    <w:p w14:paraId="2C720ECC">
      <w:pPr>
        <w:keepNext w:val="0"/>
        <w:keepLines w:val="0"/>
        <w:pageBreakBefore w:val="0"/>
        <w:kinsoku/>
        <w:wordWrap/>
        <w:topLinePunct w:val="0"/>
        <w:autoSpaceDE/>
        <w:autoSpaceDN/>
        <w:bidi w:val="0"/>
        <w:spacing w:line="560" w:lineRule="exact"/>
        <w:ind w:left="0" w:right="0" w:firstLine="640" w:firstLineChars="200"/>
        <w:textAlignment w:val="auto"/>
        <w:rPr>
          <w:rFonts w:ascii="黑体" w:hAnsi="黑体" w:eastAsia="黑体"/>
          <w:color w:val="auto"/>
          <w:sz w:val="32"/>
          <w:szCs w:val="32"/>
          <w:highlight w:val="none"/>
        </w:rPr>
      </w:pPr>
      <w:r>
        <w:rPr>
          <w:rFonts w:hint="eastAsia" w:ascii="黑体" w:hAnsi="黑体" w:eastAsia="黑体"/>
          <w:color w:val="auto"/>
          <w:sz w:val="32"/>
          <w:szCs w:val="32"/>
          <w:highlight w:val="none"/>
          <w:lang w:eastAsia="zh-CN"/>
        </w:rPr>
        <w:t>七</w:t>
      </w:r>
      <w:r>
        <w:rPr>
          <w:rFonts w:hint="eastAsia" w:ascii="黑体" w:hAnsi="黑体" w:eastAsia="黑体"/>
          <w:color w:val="auto"/>
          <w:sz w:val="32"/>
          <w:szCs w:val="32"/>
          <w:highlight w:val="none"/>
        </w:rPr>
        <w:t>、监督检查和补充说明</w:t>
      </w:r>
    </w:p>
    <w:p w14:paraId="23809399">
      <w:pPr>
        <w:keepNext w:val="0"/>
        <w:keepLines w:val="0"/>
        <w:pageBreakBefore w:val="0"/>
        <w:kinsoku/>
        <w:wordWrap/>
        <w:topLinePunct w:val="0"/>
        <w:autoSpaceDE/>
        <w:autoSpaceDN/>
        <w:bidi w:val="0"/>
        <w:spacing w:line="560" w:lineRule="exact"/>
        <w:ind w:left="0" w:right="0" w:firstLine="640" w:firstLineChars="200"/>
        <w:contextualSpacing/>
        <w:textAlignment w:val="auto"/>
        <w:outlineLvl w:val="0"/>
        <w:rPr>
          <w:rFonts w:hint="eastAsia" w:ascii="仿宋_GB2312" w:hAnsi="仿宋_GB2312" w:eastAsia="仿宋_GB2312"/>
          <w:color w:val="auto"/>
          <w:sz w:val="32"/>
          <w:szCs w:val="32"/>
          <w:highlight w:val="none"/>
        </w:rPr>
      </w:pPr>
      <w:r>
        <w:rPr>
          <w:rFonts w:hint="eastAsia" w:ascii="仿宋_GB2312" w:hAnsi="仿宋_GB2312" w:eastAsia="仿宋_GB2312"/>
          <w:color w:val="auto"/>
          <w:sz w:val="32"/>
          <w:szCs w:val="32"/>
          <w:highlight w:val="none"/>
        </w:rPr>
        <w:t>（一）</w:t>
      </w:r>
      <w:r>
        <w:rPr>
          <w:rFonts w:hint="eastAsia" w:ascii="仿宋_GB2312" w:hAnsi="仿宋_GB2312" w:eastAsia="仿宋_GB2312"/>
          <w:color w:val="auto"/>
          <w:sz w:val="32"/>
          <w:szCs w:val="32"/>
          <w:highlight w:val="none"/>
          <w:lang w:val="en-US" w:eastAsia="zh-CN"/>
        </w:rPr>
        <w:t>市、县两级商务部门、供销部门</w:t>
      </w:r>
      <w:r>
        <w:rPr>
          <w:rFonts w:hint="eastAsia" w:ascii="仿宋_GB2312" w:hAnsi="仿宋_GB2312" w:eastAsia="仿宋_GB2312"/>
          <w:color w:val="auto"/>
          <w:sz w:val="32"/>
          <w:szCs w:val="32"/>
          <w:highlight w:val="none"/>
        </w:rPr>
        <w:t>从未委托任何单位和个人为申报单位代理专项资金扶持计划项目申报事宜</w:t>
      </w:r>
      <w:r>
        <w:rPr>
          <w:rFonts w:ascii="仿宋_GB2312" w:hAnsi="仿宋_GB2312" w:eastAsia="仿宋_GB2312"/>
          <w:color w:val="auto"/>
          <w:sz w:val="32"/>
          <w:szCs w:val="32"/>
          <w:highlight w:val="none"/>
        </w:rPr>
        <w:t>，申报单位应</w:t>
      </w:r>
      <w:r>
        <w:rPr>
          <w:rFonts w:hint="eastAsia" w:ascii="仿宋_GB2312" w:hAnsi="仿宋_GB2312" w:eastAsia="仿宋_GB2312"/>
          <w:color w:val="auto"/>
          <w:sz w:val="32"/>
          <w:szCs w:val="32"/>
          <w:highlight w:val="none"/>
        </w:rPr>
        <w:t>自主申报。</w:t>
      </w:r>
      <w:r>
        <w:rPr>
          <w:rFonts w:hint="eastAsia" w:ascii="仿宋_GB2312" w:hAnsi="仿宋_GB2312" w:eastAsia="仿宋_GB2312"/>
          <w:color w:val="auto"/>
          <w:sz w:val="32"/>
          <w:szCs w:val="32"/>
          <w:highlight w:val="none"/>
          <w:lang w:val="en-US" w:eastAsia="zh-CN"/>
        </w:rPr>
        <w:t>商务部门</w:t>
      </w:r>
      <w:r>
        <w:rPr>
          <w:rFonts w:hint="eastAsia" w:ascii="仿宋_GB2312" w:hAnsi="仿宋_GB2312" w:eastAsia="仿宋_GB2312"/>
          <w:color w:val="auto"/>
          <w:sz w:val="32"/>
          <w:szCs w:val="32"/>
          <w:highlight w:val="none"/>
        </w:rPr>
        <w:t>严格按照有关</w:t>
      </w:r>
      <w:r>
        <w:rPr>
          <w:rFonts w:ascii="仿宋_GB2312" w:hAnsi="仿宋_GB2312" w:eastAsia="仿宋_GB2312"/>
          <w:color w:val="auto"/>
          <w:sz w:val="32"/>
          <w:szCs w:val="32"/>
          <w:highlight w:val="none"/>
        </w:rPr>
        <w:t>规定</w:t>
      </w:r>
      <w:r>
        <w:rPr>
          <w:rFonts w:hint="eastAsia" w:ascii="仿宋_GB2312" w:hAnsi="仿宋_GB2312" w:eastAsia="仿宋_GB2312"/>
          <w:color w:val="auto"/>
          <w:sz w:val="32"/>
          <w:szCs w:val="32"/>
          <w:highlight w:val="none"/>
        </w:rPr>
        <w:t>和程序受理申请，不收取任何费用。如有任何中介机构和个人假借</w:t>
      </w:r>
      <w:r>
        <w:rPr>
          <w:rFonts w:hint="eastAsia" w:ascii="仿宋_GB2312" w:hAnsi="仿宋_GB2312" w:eastAsia="仿宋_GB2312"/>
          <w:color w:val="auto"/>
          <w:sz w:val="32"/>
          <w:szCs w:val="32"/>
          <w:highlight w:val="none"/>
          <w:lang w:val="en-US" w:eastAsia="zh-CN"/>
        </w:rPr>
        <w:t>商务部门</w:t>
      </w:r>
      <w:r>
        <w:rPr>
          <w:rFonts w:ascii="仿宋_GB2312" w:hAnsi="仿宋_GB2312" w:eastAsia="仿宋_GB2312"/>
          <w:color w:val="auto"/>
          <w:sz w:val="32"/>
          <w:szCs w:val="32"/>
          <w:highlight w:val="none"/>
        </w:rPr>
        <w:t>或</w:t>
      </w:r>
      <w:r>
        <w:rPr>
          <w:rFonts w:hint="eastAsia" w:ascii="仿宋_GB2312" w:hAnsi="仿宋_GB2312" w:eastAsia="仿宋_GB2312"/>
          <w:color w:val="auto"/>
          <w:sz w:val="32"/>
          <w:szCs w:val="32"/>
          <w:highlight w:val="none"/>
        </w:rPr>
        <w:t>工作人员名义向申报单位收取费用的，请向</w:t>
      </w:r>
      <w:r>
        <w:rPr>
          <w:rFonts w:hint="eastAsia" w:ascii="仿宋_GB2312" w:hAnsi="仿宋_GB2312" w:eastAsia="仿宋_GB2312"/>
          <w:color w:val="auto"/>
          <w:sz w:val="32"/>
          <w:szCs w:val="32"/>
          <w:highlight w:val="none"/>
          <w:lang w:val="en-US" w:eastAsia="zh-CN"/>
        </w:rPr>
        <w:t>市商务</w:t>
      </w:r>
      <w:r>
        <w:rPr>
          <w:rFonts w:hint="eastAsia" w:ascii="仿宋_GB2312" w:hAnsi="仿宋_GB2312" w:eastAsia="仿宋_GB2312"/>
          <w:color w:val="auto"/>
          <w:sz w:val="32"/>
          <w:szCs w:val="32"/>
          <w:highlight w:val="none"/>
        </w:rPr>
        <w:t>局举报。</w:t>
      </w:r>
    </w:p>
    <w:p w14:paraId="05FF0B2E">
      <w:pPr>
        <w:keepNext w:val="0"/>
        <w:keepLines w:val="0"/>
        <w:pageBreakBefore w:val="0"/>
        <w:kinsoku/>
        <w:wordWrap/>
        <w:topLinePunct w:val="0"/>
        <w:autoSpaceDE/>
        <w:autoSpaceDN/>
        <w:bidi w:val="0"/>
        <w:spacing w:line="560" w:lineRule="exact"/>
        <w:ind w:left="0" w:right="0" w:firstLine="640" w:firstLineChars="200"/>
        <w:contextualSpacing/>
        <w:textAlignment w:val="auto"/>
        <w:outlineLvl w:val="0"/>
        <w:rPr>
          <w:rFonts w:hint="eastAsia" w:ascii="仿宋_GB2312" w:hAnsi="仿宋_GB2312" w:eastAsia="仿宋_GB2312"/>
          <w:color w:val="auto"/>
          <w:sz w:val="32"/>
          <w:szCs w:val="32"/>
          <w:highlight w:val="none"/>
        </w:rPr>
      </w:pPr>
      <w:r>
        <w:rPr>
          <w:rFonts w:hint="eastAsia" w:ascii="仿宋_GB2312" w:hAnsi="仿宋_GB2312" w:eastAsia="仿宋_GB2312"/>
          <w:color w:val="auto"/>
          <w:sz w:val="32"/>
          <w:szCs w:val="32"/>
          <w:highlight w:val="none"/>
        </w:rPr>
        <w:t>（</w:t>
      </w:r>
      <w:r>
        <w:rPr>
          <w:rFonts w:hint="eastAsia" w:ascii="仿宋_GB2312" w:hAnsi="仿宋_GB2312" w:eastAsia="仿宋_GB2312"/>
          <w:color w:val="auto"/>
          <w:sz w:val="32"/>
          <w:szCs w:val="32"/>
          <w:highlight w:val="none"/>
          <w:lang w:eastAsia="zh-CN"/>
        </w:rPr>
        <w:t>二</w:t>
      </w:r>
      <w:r>
        <w:rPr>
          <w:rFonts w:hint="eastAsia" w:ascii="仿宋_GB2312" w:hAnsi="仿宋_GB2312" w:eastAsia="仿宋_GB2312"/>
          <w:color w:val="auto"/>
          <w:sz w:val="32"/>
          <w:szCs w:val="32"/>
          <w:highlight w:val="none"/>
        </w:rPr>
        <w:t>）申报单位在项目申报期间发生企业名称、联系信息变更的，应及时联系并提供变更材料，如因未及时变更产生的后果由企业自行承担。</w:t>
      </w:r>
    </w:p>
    <w:sectPr>
      <w:footerReference r:id="rId3" w:type="default"/>
      <w:pgSz w:w="11906" w:h="16838"/>
      <w:pgMar w:top="1814" w:right="1474" w:bottom="1814" w:left="1474"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国标宋体-超大字符集扩">
    <w:panose1 w:val="000005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EE6C09">
    <w:pPr>
      <w:pStyle w:val="4"/>
      <w:keepNext w:val="0"/>
      <w:keepLines w:val="0"/>
      <w:pageBreakBefore w:val="0"/>
      <w:widowControl w:val="0"/>
      <w:kinsoku/>
      <w:wordWrap/>
      <w:overflowPunct/>
      <w:topLinePunct w:val="0"/>
      <w:bidi w:val="0"/>
      <w:adjustRightInd/>
      <w:snapToGrid w:val="0"/>
      <w:ind w:left="210" w:leftChars="100" w:right="210" w:rightChars="100"/>
      <w:textAlignment w:val="auto"/>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2AACFF">
                          <w:pPr>
                            <w:pStyle w:val="4"/>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72AACFF">
                    <w:pPr>
                      <w:pStyle w:val="4"/>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ED04C9"/>
    <w:rsid w:val="05AFB3FE"/>
    <w:rsid w:val="077FFEC1"/>
    <w:rsid w:val="173EF514"/>
    <w:rsid w:val="1CF306B4"/>
    <w:rsid w:val="1E378739"/>
    <w:rsid w:val="2FED04C9"/>
    <w:rsid w:val="37FB1185"/>
    <w:rsid w:val="3A7A4188"/>
    <w:rsid w:val="3D62E4D0"/>
    <w:rsid w:val="3F2F1AED"/>
    <w:rsid w:val="3F6B0C30"/>
    <w:rsid w:val="3FF713DF"/>
    <w:rsid w:val="43B55D10"/>
    <w:rsid w:val="56DE778F"/>
    <w:rsid w:val="59FFBAF7"/>
    <w:rsid w:val="5BBFD145"/>
    <w:rsid w:val="5BFF907B"/>
    <w:rsid w:val="5DFDF129"/>
    <w:rsid w:val="67776F1E"/>
    <w:rsid w:val="6FFFA0B0"/>
    <w:rsid w:val="73F5EAB5"/>
    <w:rsid w:val="76F8EE70"/>
    <w:rsid w:val="77C6FD9E"/>
    <w:rsid w:val="77F7C6BD"/>
    <w:rsid w:val="7AAAA630"/>
    <w:rsid w:val="7AEF25E1"/>
    <w:rsid w:val="7AF71227"/>
    <w:rsid w:val="7BB9CD2F"/>
    <w:rsid w:val="7C7EB092"/>
    <w:rsid w:val="7CDC67B5"/>
    <w:rsid w:val="7DDAAD34"/>
    <w:rsid w:val="7E1FF7EC"/>
    <w:rsid w:val="7EAE2F7B"/>
    <w:rsid w:val="7EFFFBAE"/>
    <w:rsid w:val="7F7175D9"/>
    <w:rsid w:val="7F7ED234"/>
    <w:rsid w:val="7FAF2013"/>
    <w:rsid w:val="7FF33C06"/>
    <w:rsid w:val="977754BD"/>
    <w:rsid w:val="977EDFCD"/>
    <w:rsid w:val="AFEF1B50"/>
    <w:rsid w:val="B9BB89A5"/>
    <w:rsid w:val="BBE77569"/>
    <w:rsid w:val="BEFF8BDF"/>
    <w:rsid w:val="BFF53685"/>
    <w:rsid w:val="BFF6A98B"/>
    <w:rsid w:val="BFFBE312"/>
    <w:rsid w:val="CF33CF6F"/>
    <w:rsid w:val="CF7ACEEC"/>
    <w:rsid w:val="D73A0D0C"/>
    <w:rsid w:val="D8FB0811"/>
    <w:rsid w:val="DF1F1553"/>
    <w:rsid w:val="E3BBC66E"/>
    <w:rsid w:val="E65F788C"/>
    <w:rsid w:val="E77FF3EE"/>
    <w:rsid w:val="EDDF34EC"/>
    <w:rsid w:val="EEF7886C"/>
    <w:rsid w:val="EEFAC4C3"/>
    <w:rsid w:val="EFCF1CBE"/>
    <w:rsid w:val="F17F4706"/>
    <w:rsid w:val="F1ED474A"/>
    <w:rsid w:val="F3EDE0B5"/>
    <w:rsid w:val="F5F184A6"/>
    <w:rsid w:val="F7FF9E26"/>
    <w:rsid w:val="F955DA9E"/>
    <w:rsid w:val="F9B51CB6"/>
    <w:rsid w:val="FA7A0749"/>
    <w:rsid w:val="FEDE1BE7"/>
    <w:rsid w:val="FF7FB569"/>
    <w:rsid w:val="FFEFD0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1"/>
    <w:rPr>
      <w:sz w:val="31"/>
      <w:szCs w:val="31"/>
    </w:rPr>
  </w:style>
  <w:style w:type="paragraph" w:styleId="3">
    <w:name w:val="Normal Indent"/>
    <w:basedOn w:val="1"/>
    <w:qFormat/>
    <w:uiPriority w:val="0"/>
    <w:pPr>
      <w:ind w:firstLine="420" w:firstLineChars="200"/>
    </w:pPr>
    <w:rPr>
      <w:szCs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Subtitle"/>
    <w:basedOn w:val="1"/>
    <w:next w:val="1"/>
    <w:qFormat/>
    <w:uiPriority w:val="0"/>
    <w:rPr>
      <w:rFonts w:ascii="仿宋_GB2312" w:hAnsi="仿宋_GB2312" w:cs="仿宋_GB2312"/>
      <w:szCs w:val="32"/>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paragraph" w:customStyle="1" w:styleId="10">
    <w:name w:val="文件正文"/>
    <w:basedOn w:val="6"/>
    <w:qFormat/>
    <w:uiPriority w:val="2"/>
    <w:pPr>
      <w:spacing w:line="560" w:lineRule="exact"/>
      <w:ind w:firstLine="622" w:firstLineChars="200"/>
    </w:pPr>
    <w:rPr>
      <w:rFonts w:eastAsia="仿宋_GB2312"/>
      <w:sz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435</TotalTime>
  <ScaleCrop>false</ScaleCrop>
  <LinksUpToDate>false</LinksUpToDate>
  <CharactersWithSpaces>0</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2025-01-26T01:28:00Z</dcterms:created>
  <dc:creator>网站运维(陈梓标)</dc:creator>
  <cp:lastModifiedBy>a001</cp:lastModifiedBy>
  <cp:lastPrinted>2025-02-14T14:37:00Z</cp:lastPrinted>
  <dcterms:modified xsi:type="dcterms:W3CDTF">2026-02-28T14:52:29Z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BA0BDCE631FF5DF208F1A6672895E48F</vt:lpwstr>
  </property>
</Properties>
</file>